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Final Review — Summary of Changes</w:t>
      </w:r>
    </w:p>
    <w:p>
      <w:pPr>
        <w:jc w:val="center"/>
      </w:pPr>
      <w:r>
        <w:t>Financial Risk Assessment and Micro-Lending System (FRAMS)</w:t>
      </w:r>
    </w:p>
    <w:p>
      <w:pPr>
        <w:jc w:val="center"/>
      </w:pPr>
      <w:r>
        <w:t>23 October 2026 — Final review after consistency audit</w:t>
      </w:r>
    </w:p>
    <w:p>
      <w:r>
        <w:rPr>
          <w:rFonts w:ascii="Times New Roman" w:hAnsi="Times New Roman" w:eastAsia="Times New Roman"/>
          <w:b/>
          <w:sz w:val="26"/>
        </w:rPr>
        <w:t>Files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Preserved: C:\Users\HomePC\Downloads\FRAMS_MANUSCRIPT_AUDIT_CORRECTED.docx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New manuscript: C:\Users\HomePC\Downloads\FRAMS_MANUSCRIPT_FINAL_REVIEWED.docx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unresolved-issues report: FRAMS_AUDIT_UNRESOLVED_ISSUES.docx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This change summary: FRAMS_FINAL_REVIEW_CHANGE_SUMMARY.docx</w:t>
      </w:r>
    </w:p>
    <w:p>
      <w:r>
        <w:rPr>
          <w:rFonts w:ascii="Times New Roman" w:hAnsi="Times New Roman" w:eastAsia="Times New Roman"/>
          <w:b/>
          <w:sz w:val="26"/>
        </w:rPr>
        <w:t>Changes applied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Copied FRAMS_MANUSCRIPT_AUDIT_CORRECTED.docx to FRAMS_MANUSCRIPT_FINAL_REVIEWED.docx without modifying the previous corrected manuscript.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in-text LendStack year to n.d.: 'LendStack (2025) and BlueOrchard (2025) are cited in the original draft for discussion of 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in-text (PayMongo, n.d.) at the existing API-credentials sentence so the listed source is cited.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verified BlueOrchard (2025, February 3) reference from the publisher webpage.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verified LendStack (n.d.) reference from the vendor website; no dated 2025 publication was found.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verified Santos (2023) reference from the published PDF (ISSN 2633-4828, Vol. 5 No. 2, pp. 22–27).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Appendix I questionnaire rebuilt as a 7-column Likert table (27 rows) preserving all 20 original statements.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Table I1 caption immediately before the rebuilt Appendix I questionnaire.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Added Figure B32 evidence limitation to the PM-07 appendix actual-result note.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Corrected Figure B32 caption to match the attached staff sign-in screenshot.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Flagged Figure B35 as caption-only; no payment-list screenshot is embedded.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Flagged Figure B37 as caption-only; no summary screenshot is embedded.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PM-07 actual result and remarks so they do not treat the staff sign-in screenshot as borrower payment history.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PM-07 actual result and remarks so they do not treat the staff sign-in screenshot as borrower payment history.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PM-10 remarks: payment-list screenshot not embedded; pass mark unchanged.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PM-12 remarks: summary screenshot not embedded; pass mark unchanged.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PM-10 remarks: payment-list screenshot not embedded; pass mark unchanged.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Updated PM-12 remarks: summary screenshot not embedded; pass mark unchanged.</w:t>
      </w:r>
    </w:p>
    <w:p>
      <w:r>
        <w:rPr>
          <w:rFonts w:ascii="Times New Roman" w:hAnsi="Times New Roman" w:eastAsia="Times New Roman"/>
          <w:b/>
          <w:sz w:val="26"/>
        </w:rPr>
        <w:t>Verified screenshot comparisons (no images created or altered)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PM-01/PM-02 (shared Figure B26): Record Payment, HTTP 401, isolated test key rejected, QR page did not open, remaining ₱3,150.00, E-Wallet, FRAMS-DISP-01 — supports the safe-failure claim.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PM-03 (Figure B28): Cash selected; Record Payment available; Create Dynamic QR Ph not shown — supports the cash-control claim.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PM-04 (Figures B29a/b): “Payment amount must be greater than zero.” and “Enter a valid payment amount.” — supports zero and nonnumeric checks. Blank HTML5 required-field capture is still not a separate screenshot.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PM-05 (Figure B30): “Payment cannot exceed the current total amount due of ₱3,150.00.” — supports the over-limit message. The typed 4000.00 value is not visible in the amount field after rejection.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PM-06 (Figure B31): “You are not assigned to this loan.” and empty loan dropdown — supports the assignment restriction.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PM-07 (Figure B32): staff sign-in form — supports signed-out redirect only; caption previously named borrower_history.png in error.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PM-08 (Figure B33): exact unconfirmed-pending message on FRAMS-TEST-A with ₱3,833.34 — supports the blocked second attempt. Not a successful polling or live-charge screenshot.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PM-09 (Figure B34): receipt RJRR-20261018-000004, E-Wallet, ₱100.00, ₱3,150.00 before, ₱3,050.00 remaining — supports receipt display of a stored record, not a live PayMongo charge.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PM-10 / PM-12: no list/summary screenshot embedded. Webhook table (Figure B36) remains excluded.</w:t>
      </w:r>
    </w:p>
    <w:p>
      <w:r>
        <w:rPr>
          <w:rFonts w:ascii="Times New Roman" w:hAnsi="Times New Roman" w:eastAsia="Times New Roman"/>
          <w:b/>
          <w:sz w:val="26"/>
        </w:rPr>
        <w:t>Values intentionally not changed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32 respondents; 30/1/1 roles; 20 items; 640 ratings; overall mean 4.53; 48 official tests (6+7+12+11+12).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Official PayMongo scope remains PM-01–PM-10 and PM-12. Polling and Check with PayMongo remain implemented, not separately passed.</w:t>
      </w:r>
    </w:p>
    <w:p>
      <w:r>
        <w:rPr>
          <w:rFonts w:ascii="Times New Roman" w:hAnsi="Times New Roman" w:eastAsia="Times New Roman"/>
          <w:b/>
          <w:sz w:val="26"/>
        </w:rPr>
        <w:t>Reopen verification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See C:\xampp\htdocs\lending_system\_frams_revision\final_review_verify.txt.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The manuscript is not claimed fully finalized while unmatched citations, missing screenshots, and TOC/numbering decisions remain.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