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FRAMS Priority 1 — Reference Update</w:t>
      </w:r>
    </w:p>
    <w:p>
      <w:pPr>
        <w:jc w:val="center"/>
      </w:pPr>
      <w:r>
        <w:t>Financial Risk Assessment and Micro-Lending System (FRAMS)</w:t>
      </w:r>
    </w:p>
    <w:p>
      <w:pPr>
        <w:jc w:val="center"/>
      </w:pPr>
      <w:r>
        <w:t>23 October 2026 — Priority 1 references supplied by the researchers</w:t>
      </w:r>
    </w:p>
    <w:p>
      <w:r>
        <w:rPr>
          <w:rFonts w:ascii="Times New Roman" w:hAnsi="Times New Roman" w:eastAsia="Times New Roman"/>
          <w:b/>
          <w:sz w:val="26"/>
        </w:rPr>
        <w:t>Source of this pass</w:t>
      </w:r>
    </w:p>
    <w:p>
      <w:pPr>
        <w:pStyle w:val="ListBullet"/>
      </w:pPr>
      <w:r>
        <w:rPr>
          <w:rFonts w:ascii="Times New Roman" w:hAnsi="Times New Roman" w:eastAsia="Times New Roman"/>
          <w:sz w:val="22"/>
        </w:rPr>
        <w:t>Researchers supplied six bibliographic records for machine-learning credit risk and digital lending.</w:t>
      </w:r>
    </w:p>
    <w:p>
      <w:pPr>
        <w:pStyle w:val="ListBullet"/>
      </w:pPr>
      <w:r>
        <w:rPr>
          <w:rFonts w:ascii="Times New Roman" w:hAnsi="Times New Roman" w:eastAsia="Times New Roman"/>
          <w:sz w:val="22"/>
        </w:rPr>
        <w:t>Working file updated in place: FRAMS_MANUSCRIPT_FINAL_REVIEWED.docx. Previous audit copy preserved: FRAMS_MANUSCRIPT_AUDIT_CORRECTED.docx.</w:t>
      </w:r>
    </w:p>
    <w:p>
      <w:r>
        <w:rPr>
          <w:rFonts w:ascii="Times New Roman" w:hAnsi="Times New Roman" w:eastAsia="Times New Roman"/>
          <w:b/>
          <w:sz w:val="26"/>
        </w:rPr>
        <w:t>Verified entries added</w:t>
      </w:r>
    </w:p>
    <w:p>
      <w:pPr>
        <w:pStyle w:val="ListBullet"/>
      </w:pPr>
      <w:r>
        <w:rPr>
          <w:rFonts w:ascii="Times New Roman" w:hAnsi="Times New Roman" w:eastAsia="Times New Roman"/>
          <w:sz w:val="22"/>
        </w:rPr>
        <w:t>Rewrote Chapter II paragraph starting: Kou et al. (2022) examined machine-learning approaches</w:t>
      </w:r>
    </w:p>
    <w:p>
      <w:pPr>
        <w:pStyle w:val="ListBullet"/>
      </w:pPr>
      <w:r>
        <w:rPr>
          <w:rFonts w:ascii="Times New Roman" w:hAnsi="Times New Roman" w:eastAsia="Times New Roman"/>
          <w:sz w:val="22"/>
        </w:rPr>
        <w:t>Rewrote Chapter II paragraph starting: Ghosh et al. (2023) discussed predictive analytics</w:t>
      </w:r>
    </w:p>
    <w:p>
      <w:pPr>
        <w:pStyle w:val="ListBullet"/>
      </w:pPr>
      <w:r>
        <w:rPr>
          <w:rFonts w:ascii="Times New Roman" w:hAnsi="Times New Roman" w:eastAsia="Times New Roman"/>
          <w:sz w:val="22"/>
        </w:rPr>
        <w:t>Rewrote Chapter II paragraph starting: Khandani et al. (2010) examined machine-learning models for consumer c</w:t>
      </w:r>
    </w:p>
    <w:p>
      <w:pPr>
        <w:pStyle w:val="ListBullet"/>
      </w:pPr>
      <w:r>
        <w:rPr>
          <w:rFonts w:ascii="Times New Roman" w:hAnsi="Times New Roman" w:eastAsia="Times New Roman"/>
          <w:sz w:val="22"/>
        </w:rPr>
        <w:t>Rewrote Chapter II paragraph starting: The foreign literature and studies go further. They describe machine l</w:t>
      </w:r>
    </w:p>
    <w:p>
      <w:pPr>
        <w:pStyle w:val="ListBullet"/>
      </w:pPr>
      <w:r>
        <w:rPr>
          <w:rFonts w:ascii="Times New Roman" w:hAnsi="Times New Roman" w:eastAsia="Times New Roman"/>
          <w:sz w:val="22"/>
        </w:rPr>
        <w:t>Updated Table 1 Predictive scoring sources to verified Shi/Chen/Khandani entries.</w:t>
      </w:r>
    </w:p>
    <w:p>
      <w:pPr>
        <w:pStyle w:val="ListBullet"/>
      </w:pPr>
      <w:r>
        <w:rPr>
          <w:rFonts w:ascii="Times New Roman" w:hAnsi="Times New Roman" w:eastAsia="Times New Roman"/>
          <w:sz w:val="22"/>
        </w:rPr>
        <w:t>Updated Table 1 Delinquency monitoring sources to verified Guan/Huang/Cornelli entries.</w:t>
      </w:r>
    </w:p>
    <w:p>
      <w:pPr>
        <w:pStyle w:val="ListBullet"/>
      </w:pPr>
      <w:r>
        <w:rPr>
          <w:rFonts w:ascii="Times New Roman" w:hAnsi="Times New Roman" w:eastAsia="Times New Roman"/>
          <w:sz w:val="22"/>
        </w:rPr>
        <w:t>Added Chen, Ye, and Ye (2023).</w:t>
      </w:r>
    </w:p>
    <w:p>
      <w:pPr>
        <w:pStyle w:val="ListBullet"/>
      </w:pPr>
      <w:r>
        <w:rPr>
          <w:rFonts w:ascii="Times New Roman" w:hAnsi="Times New Roman" w:eastAsia="Times New Roman"/>
          <w:sz w:val="22"/>
        </w:rPr>
        <w:t>Added Cornelli, Frost, Gambacorta, and Jagtiani (2024). In-text is Cornelli et al., not Frost et al.</w:t>
      </w:r>
    </w:p>
    <w:p>
      <w:pPr>
        <w:pStyle w:val="ListBullet"/>
      </w:pPr>
      <w:r>
        <w:rPr>
          <w:rFonts w:ascii="Times New Roman" w:hAnsi="Times New Roman" w:eastAsia="Times New Roman"/>
          <w:sz w:val="22"/>
        </w:rPr>
        <w:t>Added Guan et al. (2023).</w:t>
      </w:r>
    </w:p>
    <w:p>
      <w:pPr>
        <w:pStyle w:val="ListBullet"/>
      </w:pPr>
      <w:r>
        <w:rPr>
          <w:rFonts w:ascii="Times New Roman" w:hAnsi="Times New Roman" w:eastAsia="Times New Roman"/>
          <w:sz w:val="22"/>
        </w:rPr>
        <w:t>Added Huang et al. (2023). Publisher record lists Sun, T. (Tao Sun), not Tao, S.</w:t>
      </w:r>
    </w:p>
    <w:p>
      <w:pPr>
        <w:pStyle w:val="ListBullet"/>
      </w:pPr>
      <w:r>
        <w:rPr>
          <w:rFonts w:ascii="Times New Roman" w:hAnsi="Times New Roman" w:eastAsia="Times New Roman"/>
          <w:sz w:val="22"/>
        </w:rPr>
        <w:t>Added Kou (2022). Published article number is 71, not 83; single author, so in-text is Kou (2022), not Kou et al.</w:t>
      </w:r>
    </w:p>
    <w:p>
      <w:pPr>
        <w:pStyle w:val="ListBullet"/>
      </w:pPr>
      <w:r>
        <w:rPr>
          <w:rFonts w:ascii="Times New Roman" w:hAnsi="Times New Roman" w:eastAsia="Times New Roman"/>
          <w:sz w:val="22"/>
        </w:rPr>
        <w:t>Added Shi et al. (2022) with all five authors and issue 17, as required by APA 7.</w:t>
      </w:r>
    </w:p>
    <w:p>
      <w:r>
        <w:rPr>
          <w:rFonts w:ascii="Times New Roman" w:hAnsi="Times New Roman" w:eastAsia="Times New Roman"/>
          <w:b/>
          <w:sz w:val="26"/>
        </w:rPr>
        <w:t>Bibliographic corrections against publisher records</w:t>
      </w:r>
    </w:p>
    <w:p>
      <w:pPr>
        <w:pStyle w:val="ListBullet"/>
      </w:pPr>
      <w:r>
        <w:rPr>
          <w:rFonts w:ascii="Times New Roman" w:hAnsi="Times New Roman" w:eastAsia="Times New Roman"/>
          <w:sz w:val="22"/>
        </w:rPr>
        <w:t>Kou (2022) is a single-author editor’s introduction. In-text is Kou (2022), not Kou et al. (2022). The Financial Innovation article number for DOI 10.1186/s40854-022-00374-1 is 71, not 83.</w:t>
      </w:r>
    </w:p>
    <w:p>
      <w:pPr>
        <w:pStyle w:val="ListBullet"/>
      </w:pPr>
      <w:r>
        <w:rPr>
          <w:rFonts w:ascii="Times New Roman" w:hAnsi="Times New Roman" w:eastAsia="Times New Roman"/>
          <w:sz w:val="22"/>
        </w:rPr>
        <w:t>Shi et al. (2022) has five authors (Shi, Tse, Luo, D’Addona, Pau). APA 7 requires all of them in the reference list. Volume/issue/pages: 34(17), 14327–14339. DOI 10.1007/s00521-022-07472-2. The published title spelling “systemic review” was kept.</w:t>
      </w:r>
    </w:p>
    <w:p>
      <w:pPr>
        <w:pStyle w:val="ListBullet"/>
      </w:pPr>
      <w:r>
        <w:rPr>
          <w:rFonts w:ascii="Times New Roman" w:hAnsi="Times New Roman" w:eastAsia="Times New Roman"/>
          <w:sz w:val="22"/>
        </w:rPr>
        <w:t>Huang et al. (2023): the publisher list is Huang, Li, Qiu, Sun, Wang, and Zhang. The fourth author is Tao Sun (Sun, T.), not Tao, S.</w:t>
      </w:r>
    </w:p>
    <w:p>
      <w:pPr>
        <w:pStyle w:val="ListBullet"/>
      </w:pPr>
      <w:r>
        <w:rPr>
          <w:rFonts w:ascii="Times New Roman" w:hAnsi="Times New Roman" w:eastAsia="Times New Roman"/>
          <w:sz w:val="22"/>
        </w:rPr>
        <w:t>Chen, Ye, and Ye (2023) replaced the unmatched Chen and Li (2023). First in-text citation lists all three names.</w:t>
      </w:r>
    </w:p>
    <w:p>
      <w:pPr>
        <w:pStyle w:val="ListBullet"/>
      </w:pPr>
      <w:r>
        <w:rPr>
          <w:rFonts w:ascii="Times New Roman" w:hAnsi="Times New Roman" w:eastAsia="Times New Roman"/>
          <w:sz w:val="22"/>
        </w:rPr>
        <w:t>Cornelli, Frost, Gambacorta, and Jagtiani (2024) replaced the unmatched Frost et al. (2024). APA lead author is Cornelli.</w:t>
      </w:r>
    </w:p>
    <w:p>
      <w:r>
        <w:rPr>
          <w:rFonts w:ascii="Times New Roman" w:hAnsi="Times New Roman" w:eastAsia="Times New Roman"/>
          <w:b/>
          <w:sz w:val="26"/>
        </w:rPr>
        <w:t>Unmatched names removed from Chapter II and Table 1</w:t>
      </w:r>
    </w:p>
    <w:p>
      <w:pPr>
        <w:pStyle w:val="ListBullet"/>
      </w:pPr>
      <w:r>
        <w:rPr>
          <w:rFonts w:ascii="Times New Roman" w:hAnsi="Times New Roman" w:eastAsia="Times New Roman"/>
          <w:sz w:val="22"/>
        </w:rPr>
        <w:t>Ghosh et al. (2023), Rahman and Hasan (2025), Batista and Montero (2020), Chen et al. (2021), Juszczak et al. (2022), and Lopez and Martinez (2024) were removed because no verified record was supplied in this batch. They were not replaced with lookalike papers under the old names.</w:t>
      </w:r>
    </w:p>
    <w:p>
      <w:r>
        <w:rPr>
          <w:rFonts w:ascii="Times New Roman" w:hAnsi="Times New Roman" w:eastAsia="Times New Roman"/>
          <w:b/>
          <w:sz w:val="26"/>
        </w:rPr>
        <w:t>Still not fully finalized</w:t>
      </w:r>
    </w:p>
    <w:p>
      <w:pPr>
        <w:pStyle w:val="ListBullet"/>
      </w:pPr>
      <w:r>
        <w:rPr>
          <w:rFonts w:ascii="Times New Roman" w:hAnsi="Times New Roman" w:eastAsia="Times New Roman"/>
          <w:sz w:val="22"/>
        </w:rPr>
        <w:t>ISO/IEC 25010 remains in the reference list without an in-text citation.</w:t>
      </w:r>
    </w:p>
    <w:p>
      <w:pPr>
        <w:pStyle w:val="ListBullet"/>
      </w:pPr>
      <w:r>
        <w:rPr>
          <w:rFonts w:ascii="Times New Roman" w:hAnsi="Times New Roman" w:eastAsia="Times New Roman"/>
          <w:sz w:val="22"/>
        </w:rPr>
        <w:t>Screenshot gaps (B32 borrower history, B35 list, B37 summary, polling, Check with PayMongo) and TOC/numbering decisions remain from the previous review.</w:t>
      </w:r>
    </w:p>
    <w:p>
      <w:pPr>
        <w:pStyle w:val="ListBullet"/>
      </w:pPr>
      <w:r>
        <w:rPr>
          <w:rFonts w:ascii="Times New Roman" w:hAnsi="Times New Roman" w:eastAsia="Times New Roman"/>
          <w:sz w:val="22"/>
        </w:rPr>
        <w:t>Verified UAT/test totals were not changed: 32; 30/1/1; 20 items; 640 ratings; 4.53; 48 official cases.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