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FRAMS Revision Report</w:t>
      </w:r>
    </w:p>
    <w:p>
      <w:pPr>
        <w:jc w:val="center"/>
      </w:pPr>
      <w:r>
        <w:t>Financial Risk Assessment and Micro-Lending System (FRAMS)</w:t>
      </w:r>
    </w:p>
    <w:p>
      <w:pPr>
        <w:jc w:val="center"/>
      </w:pPr>
      <w:r>
        <w:t>23 October 2026</w:t>
      </w:r>
    </w:p>
    <w:p>
      <w:r>
        <w:rPr>
          <w:rFonts w:ascii="Times New Roman" w:hAnsi="Times New Roman" w:eastAsia="Times New Roman"/>
          <w:b/>
          <w:sz w:val="26"/>
        </w:rPr>
        <w:t>Purpose</w:t>
      </w:r>
    </w:p>
    <w:p>
      <w:pPr>
        <w:pStyle w:val="ListBullet"/>
      </w:pPr>
      <w:r>
        <w:rPr>
          <w:rFonts w:ascii="Times New Roman" w:hAnsi="Times New Roman" w:eastAsia="Times New Roman"/>
          <w:sz w:val="22"/>
        </w:rPr>
        <w:t>This report maps the 23 October 2026 comments for Group 4 to the corrections applied in FRAMS_REVISED_MANUSCRIPT.docx. The original file FRAMS_3RDREVISIONS.docx was not overwritten.</w:t>
      </w:r>
    </w:p>
    <w:p>
      <w:r>
        <w:rPr>
          <w:rFonts w:ascii="Times New Roman" w:hAnsi="Times New Roman" w:eastAsia="Times New Roman"/>
          <w:b/>
          <w:sz w:val="26"/>
        </w:rPr>
        <w:t>Evidence used</w:t>
      </w:r>
    </w:p>
    <w:p>
      <w:pPr>
        <w:pStyle w:val="ListBullet"/>
      </w:pPr>
      <w:r>
        <w:rPr>
          <w:rFonts w:ascii="Times New Roman" w:hAnsi="Times New Roman" w:eastAsia="Times New Roman"/>
          <w:sz w:val="22"/>
        </w:rPr>
        <w:t>Original manuscript: FRAMS_3RDREVISIONS.docx.</w:t>
      </w:r>
    </w:p>
    <w:p>
      <w:pPr>
        <w:pStyle w:val="ListBullet"/>
      </w:pPr>
      <w:r>
        <w:rPr>
          <w:rFonts w:ascii="Times New Roman" w:hAnsi="Times New Roman" w:eastAsia="Times New Roman"/>
          <w:sz w:val="22"/>
        </w:rPr>
        <w:t>Revision comments: October 23, 2026 - Comments for Revisions - Group 4.docx.</w:t>
      </w:r>
    </w:p>
    <w:p>
      <w:pPr>
        <w:pStyle w:val="ListBullet"/>
      </w:pPr>
      <w:r>
        <w:rPr>
          <w:rFonts w:ascii="Times New Roman" w:hAnsi="Times New Roman" w:eastAsia="Times New Roman"/>
          <w:sz w:val="22"/>
        </w:rPr>
        <w:t>UAT workbook: FRAMS UAT Responses  (1).xlsx — 32 submissions; 30 Borrower, 1 Administrator, 1 Collector; 640 item ratings; overall mean 4.5297 (4.53).</w:t>
      </w:r>
    </w:p>
    <w:p>
      <w:pPr>
        <w:pStyle w:val="ListBullet"/>
      </w:pPr>
      <w:r>
        <w:rPr>
          <w:rFonts w:ascii="Times New Roman" w:hAnsi="Times New Roman" w:eastAsia="Times New Roman"/>
          <w:sz w:val="22"/>
        </w:rPr>
        <w:t>Source code in C:\xampp\htdocs\lending_system, including loan_eligibility_helpers.php, loan_helpers.php, payments_lending.php, and paymongo_qrph_webhook.php.</w:t>
      </w:r>
    </w:p>
    <w:p>
      <w:pPr>
        <w:pStyle w:val="ListBullet"/>
      </w:pPr>
      <w:r>
        <w:rPr>
          <w:rFonts w:ascii="Times New Roman" w:hAnsi="Times New Roman" w:eastAsia="Times New Roman"/>
          <w:sz w:val="22"/>
        </w:rPr>
        <w:t>Structure-only dump of database lending_management.</w:t>
      </w:r>
    </w:p>
    <w:p>
      <w:r>
        <w:rPr>
          <w:rFonts w:ascii="Times New Roman" w:hAnsi="Times New Roman" w:eastAsia="Times New Roman"/>
          <w:b/>
          <w:sz w:val="26"/>
        </w:rPr>
        <w:t>UAT figures retained</w:t>
      </w:r>
    </w:p>
    <w:p>
      <w:pPr>
        <w:pStyle w:val="ListBullet"/>
      </w:pPr>
      <w:r>
        <w:rPr>
          <w:rFonts w:ascii="Times New Roman" w:hAnsi="Times New Roman" w:eastAsia="Times New Roman"/>
          <w:sz w:val="22"/>
        </w:rPr>
        <w:t>Respondent total: 32.</w:t>
      </w:r>
    </w:p>
    <w:p>
      <w:pPr>
        <w:pStyle w:val="ListBullet"/>
      </w:pPr>
      <w:r>
        <w:rPr>
          <w:rFonts w:ascii="Times New Roman" w:hAnsi="Times New Roman" w:eastAsia="Times New Roman"/>
          <w:sz w:val="22"/>
        </w:rPr>
        <w:t>Role distribution used everywhere after revision: 30 borrowers, 1 administrator, 1 collector.</w:t>
      </w:r>
    </w:p>
    <w:p>
      <w:pPr>
        <w:pStyle w:val="ListBullet"/>
      </w:pPr>
      <w:r>
        <w:rPr>
          <w:rFonts w:ascii="Times New Roman" w:hAnsi="Times New Roman" w:eastAsia="Times New Roman"/>
          <w:sz w:val="22"/>
        </w:rPr>
        <w:t>Frequencies retained: 341 Strongly Agree, 297 Agree, 2 Neutral.</w:t>
      </w:r>
    </w:p>
    <w:p>
      <w:pPr>
        <w:pStyle w:val="ListBullet"/>
      </w:pPr>
      <w:r>
        <w:rPr>
          <w:rFonts w:ascii="Times New Roman" w:hAnsi="Times New Roman" w:eastAsia="Times New Roman"/>
          <w:sz w:val="22"/>
        </w:rPr>
        <w:t>Criterion means retained: Functionality 4.56, Usability 4.54, Reliability 4.56, Security 4.46, Performance 4.52, overall 4.53.</w:t>
      </w:r>
    </w:p>
    <w:p>
      <w:pPr>
        <w:pStyle w:val="ListBullet"/>
      </w:pPr>
      <w:r>
        <w:rPr>
          <w:rFonts w:ascii="Times New Roman" w:hAnsi="Times New Roman" w:eastAsia="Times New Roman"/>
          <w:sz w:val="22"/>
        </w:rPr>
        <w:t>No questionnaire answers were invented or altered.</w:t>
      </w:r>
    </w:p>
    <w:p>
      <w:r>
        <w:rPr>
          <w:rFonts w:ascii="Times New Roman" w:hAnsi="Times New Roman" w:eastAsia="Times New Roman"/>
          <w:b/>
          <w:sz w:val="26"/>
        </w:rPr>
        <w:t>Chapter I, page 4 — subject-verb agreement</w:t>
      </w:r>
    </w:p>
    <w:p>
      <w:pPr>
        <w:pStyle w:val="ListBullet"/>
      </w:pPr>
      <w:r>
        <w:rPr>
          <w:rFonts w:ascii="Times New Roman" w:hAnsi="Times New Roman" w:eastAsia="Times New Roman"/>
          <w:sz w:val="22"/>
        </w:rPr>
        <w:t>Comment: revise “RJ and RR Finance Services faces challenges.”</w:t>
      </w:r>
    </w:p>
    <w:p>
      <w:pPr>
        <w:pStyle w:val="ListBullet"/>
      </w:pPr>
      <w:r>
        <w:rPr>
          <w:rFonts w:ascii="Times New Roman" w:hAnsi="Times New Roman" w:eastAsia="Times New Roman"/>
          <w:sz w:val="22"/>
        </w:rPr>
        <w:t>Action: Revised to “The lending institution, RJ and RR Finance Services, faces challenges...”</w:t>
      </w:r>
    </w:p>
    <w:p>
      <w:pPr>
        <w:pStyle w:val="ListBullet"/>
      </w:pPr>
      <w:r>
        <w:rPr>
          <w:rFonts w:ascii="Times New Roman" w:hAnsi="Times New Roman" w:eastAsia="Times New Roman"/>
          <w:sz w:val="22"/>
        </w:rPr>
        <w:t>Verification: paragraph located in Statement of the Problem.</w:t>
      </w:r>
    </w:p>
    <w:p>
      <w:r>
        <w:rPr>
          <w:rFonts w:ascii="Times New Roman" w:hAnsi="Times New Roman" w:eastAsia="Times New Roman"/>
          <w:b/>
          <w:sz w:val="26"/>
        </w:rPr>
        <w:t>Chapter I, pages 6–7 and Appendix K — minimum loan amount</w:t>
      </w:r>
    </w:p>
    <w:p>
      <w:pPr>
        <w:pStyle w:val="ListBullet"/>
      </w:pPr>
      <w:r>
        <w:rPr>
          <w:rFonts w:ascii="Times New Roman" w:hAnsi="Times New Roman" w:eastAsia="Times New Roman"/>
          <w:sz w:val="22"/>
        </w:rPr>
        <w:t>Comment: manuscript states PHP 3,000, while a form message shows PHP 1,000.</w:t>
      </w:r>
    </w:p>
    <w:p>
      <w:pPr>
        <w:pStyle w:val="ListBullet"/>
      </w:pPr>
      <w:r>
        <w:rPr>
          <w:rFonts w:ascii="Times New Roman" w:hAnsi="Times New Roman" w:eastAsia="Times New Roman"/>
          <w:sz w:val="22"/>
        </w:rPr>
        <w:t>Action: Kept the policy minimum of PHP 3,000, which matches lendingCreditPolicy() / LENDING_MIN_LOAN. Explained that the HTML input min of 1,000 is frontend numeric-entry validation only. Relabeled Figure L1 as Figure K1.</w:t>
      </w:r>
    </w:p>
    <w:p>
      <w:pPr>
        <w:pStyle w:val="ListBullet"/>
      </w:pPr>
      <w:r>
        <w:rPr>
          <w:rFonts w:ascii="Times New Roman" w:hAnsi="Times New Roman" w:eastAsia="Times New Roman"/>
          <w:sz w:val="22"/>
        </w:rPr>
        <w:t>Verification: borrower_loan_application_lending.php input min=1000; loan_eligibility_helpers.php min_loan_amount default 3000.</w:t>
      </w:r>
    </w:p>
    <w:p>
      <w:r>
        <w:rPr>
          <w:rFonts w:ascii="Times New Roman" w:hAnsi="Times New Roman" w:eastAsia="Times New Roman"/>
          <w:b/>
          <w:sz w:val="26"/>
        </w:rPr>
        <w:t>Chapter II — grammar and citation year</w:t>
      </w:r>
    </w:p>
    <w:p>
      <w:pPr>
        <w:pStyle w:val="ListBullet"/>
      </w:pPr>
      <w:r>
        <w:rPr>
          <w:rFonts w:ascii="Times New Roman" w:hAnsi="Times New Roman" w:eastAsia="Times New Roman"/>
          <w:sz w:val="22"/>
        </w:rPr>
        <w:t>Comment: “FRAMS differ”; Table 1 Khandani et al. (2018); “FRAMS work”; “eligibility estimates computes.”</w:t>
      </w:r>
    </w:p>
    <w:p>
      <w:pPr>
        <w:pStyle w:val="ListBullet"/>
      </w:pPr>
      <w:r>
        <w:rPr>
          <w:rFonts w:ascii="Times New Roman" w:hAnsi="Times New Roman" w:eastAsia="Times New Roman"/>
          <w:sz w:val="22"/>
        </w:rPr>
        <w:t>Action: Corrected grammar and changed the table citation to Khandani et al. (2010), matching the narrative and reference list.</w:t>
      </w:r>
    </w:p>
    <w:p>
      <w:pPr>
        <w:pStyle w:val="ListBullet"/>
      </w:pPr>
      <w:r>
        <w:rPr>
          <w:rFonts w:ascii="Times New Roman" w:hAnsi="Times New Roman" w:eastAsia="Times New Roman"/>
          <w:sz w:val="22"/>
        </w:rPr>
        <w:t>Verification: Table 0 cell and Chapter II synthesis paragraph.</w:t>
      </w:r>
    </w:p>
    <w:p>
      <w:r>
        <w:rPr>
          <w:rFonts w:ascii="Times New Roman" w:hAnsi="Times New Roman" w:eastAsia="Times New Roman"/>
          <w:b/>
          <w:sz w:val="26"/>
        </w:rPr>
        <w:t>Chapter III — UAT respondent distribution</w:t>
      </w:r>
    </w:p>
    <w:p>
      <w:pPr>
        <w:pStyle w:val="ListBullet"/>
      </w:pPr>
      <w:r>
        <w:rPr>
          <w:rFonts w:ascii="Times New Roman" w:hAnsi="Times New Roman" w:eastAsia="Times New Roman"/>
          <w:sz w:val="22"/>
        </w:rPr>
        <w:t>Comment: use 30 borrowers, 1 administrator, and 1 collector throughout.</w:t>
      </w:r>
    </w:p>
    <w:p>
      <w:pPr>
        <w:pStyle w:val="ListBullet"/>
      </w:pPr>
      <w:r>
        <w:rPr>
          <w:rFonts w:ascii="Times New Roman" w:hAnsi="Times New Roman" w:eastAsia="Times New Roman"/>
          <w:sz w:val="22"/>
        </w:rPr>
        <w:t>Action: Replaced every 28/1/3 statement with the workbook-supported 30/1/1 distribution in Chapters III, IV, and V and in Appendix J/F narratives.</w:t>
      </w:r>
    </w:p>
    <w:p>
      <w:pPr>
        <w:pStyle w:val="ListBullet"/>
      </w:pPr>
      <w:r>
        <w:rPr>
          <w:rFonts w:ascii="Times New Roman" w:hAnsi="Times New Roman" w:eastAsia="Times New Roman"/>
          <w:sz w:val="22"/>
        </w:rPr>
        <w:t>Verification: Form Responses 1 and UAT-10 Role Summary in the supplied Excel file.</w:t>
      </w:r>
    </w:p>
    <w:p>
      <w:r>
        <w:rPr>
          <w:rFonts w:ascii="Times New Roman" w:hAnsi="Times New Roman" w:eastAsia="Times New Roman"/>
          <w:b/>
          <w:sz w:val="26"/>
        </w:rPr>
        <w:t>Chapter III — statistical source language</w:t>
      </w:r>
    </w:p>
    <w:p>
      <w:pPr>
        <w:pStyle w:val="ListBullet"/>
      </w:pPr>
      <w:r>
        <w:rPr>
          <w:rFonts w:ascii="Times New Roman" w:hAnsi="Times New Roman" w:eastAsia="Times New Roman"/>
          <w:sz w:val="22"/>
        </w:rPr>
        <w:t>Comment: the workbook contains 20 item answers, not five criterion scores.</w:t>
      </w:r>
    </w:p>
    <w:p>
      <w:pPr>
        <w:pStyle w:val="ListBullet"/>
      </w:pPr>
      <w:r>
        <w:rPr>
          <w:rFonts w:ascii="Times New Roman" w:hAnsi="Times New Roman" w:eastAsia="Times New Roman"/>
          <w:sz w:val="22"/>
        </w:rPr>
        <w:t>Action: Stated that 32 × 20 = 640 individual ratings come from item-level answers. Removed the outdated Appendix F limitation about one rating per criterion.</w:t>
      </w:r>
    </w:p>
    <w:p>
      <w:pPr>
        <w:pStyle w:val="ListBullet"/>
      </w:pPr>
      <w:r>
        <w:rPr>
          <w:rFonts w:ascii="Times New Roman" w:hAnsi="Times New Roman" w:eastAsia="Times New Roman"/>
          <w:sz w:val="22"/>
        </w:rPr>
        <w:t>Verification: 32 rows × 20 Likert columns in the workbook.</w:t>
      </w:r>
    </w:p>
    <w:p>
      <w:r>
        <w:rPr>
          <w:rFonts w:ascii="Times New Roman" w:hAnsi="Times New Roman" w:eastAsia="Times New Roman"/>
          <w:b/>
          <w:sz w:val="26"/>
        </w:rPr>
        <w:t>Chapter III — iterative development and TAM/DeLone–McLean</w:t>
      </w:r>
    </w:p>
    <w:p>
      <w:pPr>
        <w:pStyle w:val="ListBullet"/>
      </w:pPr>
      <w:r>
        <w:rPr>
          <w:rFonts w:ascii="Times New Roman" w:hAnsi="Times New Roman" w:eastAsia="Times New Roman"/>
          <w:sz w:val="22"/>
        </w:rPr>
        <w:t>Comment: describe actual development stages; relate theory to UAT criteria.</w:t>
      </w:r>
    </w:p>
    <w:p>
      <w:pPr>
        <w:pStyle w:val="ListBullet"/>
      </w:pPr>
      <w:r>
        <w:rPr>
          <w:rFonts w:ascii="Times New Roman" w:hAnsi="Times New Roman" w:eastAsia="Times New Roman"/>
          <w:sz w:val="22"/>
        </w:rPr>
        <w:t>Action: Added a workflow-order iteration paragraph based on the implemented modules. Added a paragraph mapping UAT criteria to TAM and DeLone–McLean, while stating that UAT scores are perceptions.</w:t>
      </w:r>
    </w:p>
    <w:p>
      <w:pPr>
        <w:pStyle w:val="ListBullet"/>
      </w:pPr>
      <w:r>
        <w:rPr>
          <w:rFonts w:ascii="Times New Roman" w:hAnsi="Times New Roman" w:eastAsia="Times New Roman"/>
          <w:sz w:val="22"/>
        </w:rPr>
        <w:t>Verification: no fabricated meeting dates were introduced.</w:t>
      </w:r>
    </w:p>
    <w:p>
      <w:r>
        <w:rPr>
          <w:rFonts w:ascii="Times New Roman" w:hAnsi="Times New Roman" w:eastAsia="Times New Roman"/>
          <w:b/>
          <w:sz w:val="26"/>
        </w:rPr>
        <w:t>Chapter III/IV — figure duplication and wrapping</w:t>
      </w:r>
    </w:p>
    <w:p>
      <w:pPr>
        <w:pStyle w:val="ListBullet"/>
      </w:pPr>
      <w:r>
        <w:rPr>
          <w:rFonts w:ascii="Times New Roman" w:hAnsi="Times New Roman" w:eastAsia="Times New Roman"/>
          <w:sz w:val="22"/>
        </w:rPr>
        <w:t>Comment: DFD/flowchart interrupt text; Figure 5.1 and 5.5 explanations duplicated; duplicate Presentation of Testing Data.</w:t>
      </w:r>
    </w:p>
    <w:p>
      <w:pPr>
        <w:pStyle w:val="ListBullet"/>
      </w:pPr>
      <w:r>
        <w:rPr>
          <w:rFonts w:ascii="Times New Roman" w:hAnsi="Times New Roman" w:eastAsia="Times New Roman"/>
          <w:sz w:val="22"/>
        </w:rPr>
        <w:t>Action: Converted square/tight figure wrapping to top-and-bottom; removed the duplicate Figure 5.1 and Figure 5.5 paragraphs and the repeated heading; kept captions with keep-with-next.</w:t>
      </w:r>
    </w:p>
    <w:p>
      <w:pPr>
        <w:pStyle w:val="ListBullet"/>
      </w:pPr>
      <w:r>
        <w:rPr>
          <w:rFonts w:ascii="Times New Roman" w:hAnsi="Times New Roman" w:eastAsia="Times New Roman"/>
          <w:sz w:val="22"/>
        </w:rPr>
        <w:t>Verification: remaining Figure 5.5 explanation count and Presentation heading count.</w:t>
      </w:r>
    </w:p>
    <w:p>
      <w:r>
        <w:rPr>
          <w:rFonts w:ascii="Times New Roman" w:hAnsi="Times New Roman" w:eastAsia="Times New Roman"/>
          <w:b/>
          <w:sz w:val="26"/>
        </w:rPr>
        <w:t>Chapter IV — financial formulas</w:t>
      </w:r>
    </w:p>
    <w:p>
      <w:pPr>
        <w:pStyle w:val="ListBullet"/>
      </w:pPr>
      <w:r>
        <w:rPr>
          <w:rFonts w:ascii="Times New Roman" w:hAnsi="Times New Roman" w:eastAsia="Times New Roman"/>
          <w:sz w:val="22"/>
        </w:rPr>
        <w:t>Comment: Formula 9 wording; Formula 10 parentheses; eligibility grammar; boundary handling.</w:t>
      </w:r>
    </w:p>
    <w:p>
      <w:pPr>
        <w:pStyle w:val="ListBullet"/>
      </w:pPr>
      <w:r>
        <w:rPr>
          <w:rFonts w:ascii="Times New Roman" w:hAnsi="Times New Roman" w:eastAsia="Times New Roman"/>
          <w:sz w:val="22"/>
        </w:rPr>
        <w:t>Action: Corrected “I represents monthly gross income,” DTI_after = ((E + MP) / I) × 100, and “The eligibility estimate assigns.” Added the implemented rules for zero/negative capacity, simultaneous DTI and principal-limit failure, and partial payments with a penalty portion.</w:t>
      </w:r>
    </w:p>
    <w:p>
      <w:pPr>
        <w:pStyle w:val="ListBullet"/>
      </w:pPr>
      <w:r>
        <w:rPr>
          <w:rFonts w:ascii="Times New Roman" w:hAnsi="Times New Roman" w:eastAsia="Times New Roman"/>
          <w:sz w:val="22"/>
        </w:rPr>
        <w:t>Verification: assessLoanEligibility() and validatePaymentAmounts() in the source code. Interest and installment formulas were not changed.</w:t>
      </w:r>
    </w:p>
    <w:p>
      <w:r>
        <w:rPr>
          <w:rFonts w:ascii="Times New Roman" w:hAnsi="Times New Roman" w:eastAsia="Times New Roman"/>
          <w:b/>
          <w:sz w:val="26"/>
        </w:rPr>
        <w:t>Chapter IV — database documentation</w:t>
      </w:r>
    </w:p>
    <w:p>
      <w:pPr>
        <w:pStyle w:val="ListBullet"/>
      </w:pPr>
      <w:r>
        <w:rPr>
          <w:rFonts w:ascii="Times New Roman" w:hAnsi="Times New Roman" w:eastAsia="Times New Roman"/>
          <w:sz w:val="22"/>
        </w:rPr>
        <w:t>Comment: supply a reproducible schema.</w:t>
      </w:r>
    </w:p>
    <w:p>
      <w:pPr>
        <w:pStyle w:val="ListBullet"/>
      </w:pPr>
      <w:r>
        <w:rPr>
          <w:rFonts w:ascii="Times New Roman" w:hAnsi="Times New Roman" w:eastAsia="Times New Roman"/>
          <w:sz w:val="22"/>
        </w:rPr>
        <w:t>Action: Added Appendix L and FRAMS_APPENDIX_L_Database_Schema.sql, a structure-only dump of lending_management, with installation notes and the one declared foreign key.</w:t>
      </w:r>
    </w:p>
    <w:p>
      <w:pPr>
        <w:pStyle w:val="ListBullet"/>
      </w:pPr>
      <w:r>
        <w:rPr>
          <w:rFonts w:ascii="Times New Roman" w:hAnsi="Times New Roman" w:eastAsia="Times New Roman"/>
          <w:sz w:val="22"/>
        </w:rPr>
        <w:t>Verification: mysqldump --no-data of lending_management; information_schema shows only fk_paymongo_qrph_webhook_transaction.</w:t>
      </w:r>
    </w:p>
    <w:p>
      <w:r>
        <w:rPr>
          <w:rFonts w:ascii="Times New Roman" w:hAnsi="Times New Roman" w:eastAsia="Times New Roman"/>
          <w:b/>
          <w:sz w:val="26"/>
        </w:rPr>
        <w:t>Chapter IV — PayMongo verification method</w:t>
      </w:r>
    </w:p>
    <w:p>
      <w:pPr>
        <w:pStyle w:val="ListBullet"/>
      </w:pPr>
      <w:r>
        <w:rPr>
          <w:rFonts w:ascii="Times New Roman" w:hAnsi="Times New Roman" w:eastAsia="Times New Roman"/>
          <w:sz w:val="22"/>
        </w:rPr>
        <w:t>Comment: align claims with evidence; do not treat QR display as confirmation.</w:t>
      </w:r>
    </w:p>
    <w:p>
      <w:pPr>
        <w:pStyle w:val="ListBullet"/>
      </w:pPr>
      <w:r>
        <w:rPr>
          <w:rFonts w:ascii="Times New Roman" w:hAnsi="Times New Roman" w:eastAsia="Times New Roman"/>
          <w:sz w:val="22"/>
        </w:rPr>
        <w:t>Action: Described Payment Intent API polling on the open QR page as the implemented collector confirmation path. Kept the webhook as an optional additional path. Did not claim that the webhook was removed. Retained the manuscript’s distinction that PM-09/PM-10 are local simulations.</w:t>
      </w:r>
    </w:p>
    <w:p>
      <w:pPr>
        <w:pStyle w:val="ListBullet"/>
      </w:pPr>
      <w:r>
        <w:rPr>
          <w:rFonts w:ascii="Times New Roman" w:hAnsi="Times New Roman" w:eastAsia="Times New Roman"/>
          <w:sz w:val="22"/>
        </w:rPr>
        <w:t>Verification: payments_lending.php action=qrph_status and lendingReconcilePaymongoQrphTransaction().</w:t>
      </w:r>
    </w:p>
    <w:p>
      <w:r>
        <w:rPr>
          <w:rFonts w:ascii="Times New Roman" w:hAnsi="Times New Roman" w:eastAsia="Times New Roman"/>
          <w:b/>
          <w:sz w:val="26"/>
        </w:rPr>
        <w:t>Chapter V — respondent figures, conclusions, recommendations</w:t>
      </w:r>
    </w:p>
    <w:p>
      <w:pPr>
        <w:pStyle w:val="ListBullet"/>
      </w:pPr>
      <w:r>
        <w:rPr>
          <w:rFonts w:ascii="Times New Roman" w:hAnsi="Times New Roman" w:eastAsia="Times New Roman"/>
          <w:sz w:val="22"/>
        </w:rPr>
        <w:t>Comment: correct 28/1/3; present conclusions by objective; prioritize backup, auditability, and financial integrity.</w:t>
      </w:r>
    </w:p>
    <w:p>
      <w:pPr>
        <w:pStyle w:val="ListBullet"/>
      </w:pPr>
      <w:r>
        <w:rPr>
          <w:rFonts w:ascii="Times New Roman" w:hAnsi="Times New Roman" w:eastAsia="Times New Roman"/>
          <w:sz w:val="22"/>
        </w:rPr>
        <w:t>Action: Corrected the UAT count, rewrote conclusions against the six Chapter I objectives, and reordered recommendations.</w:t>
      </w:r>
    </w:p>
    <w:p>
      <w:pPr>
        <w:pStyle w:val="ListBullet"/>
      </w:pPr>
      <w:r>
        <w:rPr>
          <w:rFonts w:ascii="Times New Roman" w:hAnsi="Times New Roman" w:eastAsia="Times New Roman"/>
          <w:sz w:val="22"/>
        </w:rPr>
        <w:t>Verification: Chapter I objectives left unchanged.</w:t>
      </w:r>
    </w:p>
    <w:p>
      <w:r>
        <w:rPr>
          <w:rFonts w:ascii="Times New Roman" w:hAnsi="Times New Roman" w:eastAsia="Times New Roman"/>
          <w:b/>
          <w:sz w:val="26"/>
        </w:rPr>
        <w:t>Appendices — duplication, UAT narrative, Figure L1</w:t>
      </w:r>
    </w:p>
    <w:p>
      <w:pPr>
        <w:pStyle w:val="ListBullet"/>
      </w:pPr>
      <w:r>
        <w:rPr>
          <w:rFonts w:ascii="Times New Roman" w:hAnsi="Times New Roman" w:eastAsia="Times New Roman"/>
          <w:sz w:val="22"/>
        </w:rPr>
        <w:t>Comment: duplicated Appendix B; outdated criterion-level limitation; Figure L1 label.</w:t>
      </w:r>
    </w:p>
    <w:p>
      <w:pPr>
        <w:pStyle w:val="ListBullet"/>
      </w:pPr>
      <w:r>
        <w:rPr>
          <w:rFonts w:ascii="Times New Roman" w:hAnsi="Times New Roman" w:eastAsia="Times New Roman"/>
          <w:sz w:val="22"/>
        </w:rPr>
        <w:t>Action: Removed the second copy of Appendix B; corrected the UAT source narrative; relabeled Figure K1.</w:t>
      </w:r>
    </w:p>
    <w:p>
      <w:pPr>
        <w:pStyle w:val="ListBullet"/>
      </w:pPr>
      <w:r>
        <w:rPr>
          <w:rFonts w:ascii="Times New Roman" w:hAnsi="Times New Roman" w:eastAsia="Times New Roman"/>
          <w:sz w:val="22"/>
        </w:rPr>
        <w:t>Verification: count of APPENDIX B headings after revision.</w:t>
      </w:r>
    </w:p>
    <w:p>
      <w:r>
        <w:rPr>
          <w:rFonts w:ascii="Times New Roman" w:hAnsi="Times New Roman" w:eastAsia="Times New Roman"/>
          <w:b/>
          <w:sz w:val="26"/>
        </w:rPr>
        <w:t>Formatting</w:t>
      </w:r>
    </w:p>
    <w:p>
      <w:pPr>
        <w:pStyle w:val="ListBullet"/>
      </w:pPr>
      <w:r>
        <w:rPr>
          <w:rFonts w:ascii="Times New Roman" w:hAnsi="Times New Roman" w:eastAsia="Times New Roman"/>
          <w:sz w:val="22"/>
        </w:rPr>
        <w:t>Comment: title colon, outdated title-page date, Heading 1 misuse, wrapping, editorial notes in the bibliography.</w:t>
      </w:r>
    </w:p>
    <w:p>
      <w:pPr>
        <w:pStyle w:val="ListBullet"/>
      </w:pPr>
      <w:r>
        <w:rPr>
          <w:rFonts w:ascii="Times New Roman" w:hAnsi="Times New Roman" w:eastAsia="Times New Roman"/>
          <w:sz w:val="22"/>
        </w:rPr>
        <w:t>Action: Removed the title colon, dated the title page 23 October 2026, restyled Scenario/Expected/Actual blocks that had been Heading 1, removed the A.1 editorial bibliography note, and converted figure wrapping.</w:t>
      </w:r>
    </w:p>
    <w:p>
      <w:pPr>
        <w:pStyle w:val="ListBullet"/>
      </w:pPr>
      <w:r>
        <w:rPr>
          <w:rFonts w:ascii="Times New Roman" w:hAnsi="Times New Roman" w:eastAsia="Times New Roman"/>
          <w:sz w:val="22"/>
        </w:rPr>
        <w:t>Verification: opening title paragraph and reference heading.</w:t>
      </w:r>
    </w:p>
    <w:p>
      <w:r>
        <w:rPr>
          <w:rFonts w:ascii="Times New Roman" w:hAnsi="Times New Roman" w:eastAsia="Times New Roman"/>
          <w:b/>
          <w:sz w:val="26"/>
        </w:rPr>
        <w:t>Mechanical counts from the revised file</w:t>
      </w:r>
    </w:p>
    <w:p>
      <w:pPr>
        <w:pStyle w:val="ListBullet"/>
      </w:pPr>
      <w:r>
        <w:rPr>
          <w:rFonts w:ascii="Times New Roman" w:hAnsi="Times New Roman" w:eastAsia="Times New Roman"/>
          <w:sz w:val="22"/>
        </w:rPr>
        <w:t>Figure wrap conversions: 44.</w:t>
      </w:r>
    </w:p>
    <w:p>
      <w:pPr>
        <w:pStyle w:val="ListBullet"/>
      </w:pPr>
      <w:r>
        <w:rPr>
          <w:rFonts w:ascii="Times New Roman" w:hAnsi="Times New Roman" w:eastAsia="Times New Roman"/>
          <w:sz w:val="22"/>
        </w:rPr>
        <w:t>Misused Heading 1 restyles: 6.</w:t>
      </w:r>
    </w:p>
    <w:p>
      <w:pPr>
        <w:pStyle w:val="ListBullet"/>
      </w:pPr>
      <w:r>
        <w:rPr>
          <w:rFonts w:ascii="Times New Roman" w:hAnsi="Times New Roman" w:eastAsia="Times New Roman"/>
          <w:sz w:val="22"/>
        </w:rPr>
        <w:t>Duplicate Appendix B body elements removed: 371.</w:t>
      </w:r>
    </w:p>
    <w:p>
      <w:pPr>
        <w:pStyle w:val="ListBullet"/>
      </w:pPr>
      <w:r>
        <w:rPr>
          <w:rFonts w:ascii="Times New Roman" w:hAnsi="Times New Roman" w:eastAsia="Times New Roman"/>
          <w:sz w:val="22"/>
        </w:rPr>
        <w:t>Duplicate or stray paragraphs removed: 4.</w:t>
      </w:r>
    </w:p>
    <w:p>
      <w:pPr>
        <w:pStyle w:val="ListBullet"/>
      </w:pPr>
      <w:r>
        <w:rPr>
          <w:rFonts w:ascii="Times New Roman" w:hAnsi="Times New Roman" w:eastAsia="Times New Roman"/>
          <w:sz w:val="22"/>
        </w:rPr>
        <w:t>APPENDIX B headings remaining: 1.</w:t>
      </w:r>
    </w:p>
    <w:p>
      <w:pPr>
        <w:pStyle w:val="ListBullet"/>
      </w:pPr>
      <w:r>
        <w:rPr>
          <w:rFonts w:ascii="Times New Roman" w:hAnsi="Times New Roman" w:eastAsia="Times New Roman"/>
          <w:sz w:val="22"/>
        </w:rPr>
        <w:t>“Presentation of Testing Data” headings remaining: 1.</w:t>
      </w:r>
    </w:p>
    <w:p>
      <w:pPr>
        <w:pStyle w:val="ListBullet"/>
      </w:pPr>
      <w:r>
        <w:rPr>
          <w:rFonts w:ascii="Times New Roman" w:hAnsi="Times New Roman" w:eastAsia="Times New Roman"/>
          <w:sz w:val="22"/>
        </w:rPr>
        <w:t>Figure 5.5 explanation paragraphs remaining: 1.</w:t>
      </w:r>
    </w:p>
    <w:p>
      <w:pPr>
        <w:pStyle w:val="ListBullet"/>
      </w:pPr>
      <w:r>
        <w:rPr>
          <w:rFonts w:ascii="Times New Roman" w:hAnsi="Times New Roman" w:eastAsia="Times New Roman"/>
          <w:sz w:val="22"/>
        </w:rPr>
        <w:t>Needles still present in text, if any: FRAMS differ</w:t>
      </w:r>
    </w:p>
    <w:p>
      <w:r>
        <w:rPr>
          <w:rFonts w:ascii="Times New Roman" w:hAnsi="Times New Roman" w:eastAsia="Times New Roman"/>
          <w:b/>
          <w:sz w:val="26"/>
        </w:rPr>
        <w:t>What was not rewritten</w:t>
      </w:r>
    </w:p>
    <w:p>
      <w:pPr>
        <w:pStyle w:val="ListBullet"/>
      </w:pPr>
      <w:r>
        <w:rPr>
          <w:rFonts w:ascii="Times New Roman" w:hAnsi="Times New Roman" w:eastAsia="Times New Roman"/>
          <w:sz w:val="22"/>
        </w:rPr>
        <w:t>Approved project title and the six research objectives.</w:t>
      </w:r>
    </w:p>
    <w:p>
      <w:pPr>
        <w:pStyle w:val="ListBullet"/>
      </w:pPr>
      <w:r>
        <w:rPr>
          <w:rFonts w:ascii="Times New Roman" w:hAnsi="Times New Roman" w:eastAsia="Times New Roman"/>
          <w:sz w:val="22"/>
        </w:rPr>
        <w:t>UAT means, frequencies, and the 32-respondent total.</w:t>
      </w:r>
    </w:p>
    <w:p>
      <w:pPr>
        <w:pStyle w:val="ListBullet"/>
      </w:pPr>
      <w:r>
        <w:rPr>
          <w:rFonts w:ascii="Times New Roman" w:hAnsi="Times New Roman" w:eastAsia="Times New Roman"/>
          <w:sz w:val="22"/>
        </w:rPr>
        <w:t>Loan interest, installment, and eligibility arithmetic, other than formula notation and the documented boundary rules already in the code.</w:t>
      </w:r>
    </w:p>
    <w:p>
      <w:pPr>
        <w:pStyle w:val="ListBullet"/>
      </w:pPr>
      <w:r>
        <w:rPr>
          <w:rFonts w:ascii="Times New Roman" w:hAnsi="Times New Roman" w:eastAsia="Times New Roman"/>
          <w:sz w:val="22"/>
        </w:rPr>
        <w:t>Pass/fail outcomes of the documented test tables.</w:t>
      </w:r>
    </w:p>
    <w:p>
      <w:pPr>
        <w:pStyle w:val="ListBullet"/>
      </w:pPr>
      <w:r>
        <w:rPr>
          <w:rFonts w:ascii="Times New Roman" w:hAnsi="Times New Roman" w:eastAsia="Times New Roman"/>
          <w:sz w:val="22"/>
        </w:rPr>
        <w:t>Author names, DOIs, and publication details in the reference list, except the Khandani year in Table 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