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FRAMS Unresolved Issues</w:t>
      </w:r>
    </w:p>
    <w:p>
      <w:pPr>
        <w:jc w:val="center"/>
      </w:pPr>
      <w:r>
        <w:t>Financial Risk Assessment and Micro-Lending System (FRAMS)</w:t>
      </w:r>
    </w:p>
    <w:p>
      <w:pPr>
        <w:jc w:val="center"/>
      </w:pPr>
      <w:r>
        <w:t>23 October 2026</w:t>
      </w:r>
    </w:p>
    <w:p>
      <w:r>
        <w:rPr>
          <w:rFonts w:ascii="Times New Roman" w:hAnsi="Times New Roman" w:eastAsia="Times New Roman"/>
          <w:b/>
          <w:sz w:val="26"/>
        </w:rPr>
        <w:t>Items requiring adviser clarification or additional evidence</w:t>
      </w:r>
    </w:p>
    <w:p>
      <w:pPr>
        <w:pStyle w:val="ListBullet"/>
      </w:pPr>
      <w:r>
        <w:rPr>
          <w:rFonts w:ascii="Times New Roman" w:hAnsi="Times New Roman" w:eastAsia="Times New Roman"/>
          <w:sz w:val="22"/>
        </w:rPr>
        <w:t>Pre-development participation of 12 persons (1 owner, 1 collector, 10 borrowers) is stated in Chapter III. Supporting consent forms, dated interview notes, and a participation record were not attached to the supplied files. The count was retained and flagged here rather than invented.</w:t>
      </w:r>
    </w:p>
    <w:p>
      <w:pPr>
        <w:pStyle w:val="ListBullet"/>
      </w:pPr>
      <w:r>
        <w:rPr>
          <w:rFonts w:ascii="Times New Roman" w:hAnsi="Times New Roman" w:eastAsia="Times New Roman"/>
          <w:sz w:val="22"/>
        </w:rPr>
        <w:t>No complete dated iteration log (what was developed, tested, and revised in each sprint) was supplied. The added iteration paragraph follows the implemented module order only.</w:t>
      </w:r>
    </w:p>
    <w:p>
      <w:pPr>
        <w:pStyle w:val="ListBullet"/>
      </w:pPr>
      <w:r>
        <w:rPr>
          <w:rFonts w:ascii="Times New Roman" w:hAnsi="Times New Roman" w:eastAsia="Times New Roman"/>
          <w:sz w:val="22"/>
        </w:rPr>
        <w:t>External PayMongo evidence remains limited. The source code implements Payment Intent polling and an optional webhook, but the supplied test records still distinguish local simulations from provider-delivered webhooks and live charges. A distinct duplicate-webhook test and a distinct QR-linked deletion-restriction test are implemented in code; the manuscript’s PM-12 remarks still state that the attached screenshot does not itself test deletion. Those test claims were not upgraded to external end-to-end proof.</w:t>
      </w:r>
    </w:p>
    <w:p>
      <w:pPr>
        <w:pStyle w:val="ListBullet"/>
      </w:pPr>
      <w:r>
        <w:rPr>
          <w:rFonts w:ascii="Times New Roman" w:hAnsi="Times New Roman" w:eastAsia="Times New Roman"/>
          <w:sz w:val="22"/>
        </w:rPr>
        <w:t>Core lending tables still lack database foreign keys. Appendix L documents that fact. Adding constraints would be a software change, not a wording change, and was not made for this manuscript revision.</w:t>
      </w:r>
    </w:p>
    <w:p>
      <w:pPr>
        <w:pStyle w:val="ListBullet"/>
      </w:pPr>
      <w:r>
        <w:rPr>
          <w:rFonts w:ascii="Times New Roman" w:hAnsi="Times New Roman" w:eastAsia="Times New Roman"/>
          <w:sz w:val="22"/>
        </w:rPr>
        <w:t>The HTML minimum of 1,000 and the policy minimum of 3,000 still differ in the running form. The manuscript now explains both. Changing the input min to 3000 would be a code change and was not made.</w:t>
      </w:r>
    </w:p>
    <w:p>
      <w:pPr>
        <w:pStyle w:val="ListBullet"/>
      </w:pPr>
      <w:r>
        <w:rPr>
          <w:rFonts w:ascii="Times New Roman" w:hAnsi="Times New Roman" w:eastAsia="Times New Roman"/>
          <w:sz w:val="22"/>
        </w:rPr>
        <w:t>Several Chapter II sources remain in the original reference list. A full source-by-source retrieval of every URL and DOI was not completed in this pass. No replacement authors, years, or DOIs were fabricated.</w:t>
      </w:r>
    </w:p>
    <w:p>
      <w:pPr>
        <w:pStyle w:val="ListBullet"/>
      </w:pPr>
      <w:r>
        <w:rPr>
          <w:rFonts w:ascii="Times New Roman" w:hAnsi="Times New Roman" w:eastAsia="Times New Roman"/>
          <w:sz w:val="22"/>
        </w:rPr>
        <w:t>Figure and table layout inside Word still depends on the original embedded drawings. Wrap mode was converted to top-and-bottom, but some diagrams may still be small or split from captions. A manual print-layout pass in Microsoft Word is still required before binding.</w:t>
      </w:r>
    </w:p>
    <w:p>
      <w:pPr>
        <w:pStyle w:val="ListBullet"/>
      </w:pPr>
      <w:r>
        <w:rPr>
          <w:rFonts w:ascii="Times New Roman" w:hAnsi="Times New Roman" w:eastAsia="Times New Roman"/>
          <w:sz w:val="22"/>
        </w:rPr>
        <w:t>Page numbering, automatic caption fields, and a regenerated table of contents could not be fully rebuilt from python-docx. Authors should update the table of contents and list of figures in Word before printing.</w:t>
      </w:r>
    </w:p>
    <w:p>
      <w:pPr>
        <w:pStyle w:val="ListBullet"/>
      </w:pPr>
      <w:r>
        <w:rPr>
          <w:rFonts w:ascii="Times New Roman" w:hAnsi="Times New Roman" w:eastAsia="Times New Roman"/>
          <w:sz w:val="22"/>
        </w:rPr>
        <w:t>The original manuscript expanded to a very long file with repeated appendix evidence. The duplicate Appendix B copy was removed. Remaining appendix length is the original first copy plus Appendices I–L.</w:t>
      </w:r>
    </w:p>
    <w:p>
      <w:r>
        <w:rPr>
          <w:rFonts w:ascii="Times New Roman" w:hAnsi="Times New Roman" w:eastAsia="Times New Roman"/>
          <w:b/>
          <w:sz w:val="26"/>
        </w:rPr>
        <w:t>Conflicts that were not guessed</w:t>
      </w:r>
    </w:p>
    <w:p>
      <w:pPr>
        <w:pStyle w:val="ListBullet"/>
      </w:pPr>
      <w:r>
        <w:rPr>
          <w:rFonts w:ascii="Times New Roman" w:hAnsi="Times New Roman" w:eastAsia="Times New Roman"/>
          <w:sz w:val="22"/>
        </w:rPr>
        <w:t>The comments document asked the researchers to investigate the ₱1,000 versus ₱3,000 contradiction. The code contains both values for different layers. The manuscript now reports both; it does not silently change the approved policy minimum.</w:t>
      </w:r>
    </w:p>
    <w:p>
      <w:pPr>
        <w:pStyle w:val="ListBullet"/>
      </w:pPr>
      <w:r>
        <w:rPr>
          <w:rFonts w:ascii="Times New Roman" w:hAnsi="Times New Roman" w:eastAsia="Times New Roman"/>
          <w:sz w:val="22"/>
        </w:rPr>
        <w:t>The comments document treats webhook evidence as still relevant to PayMongo testing. The running collector workflow uses Payment Intent polling and keeps the webhook optional. The manuscript describes both, and does not claim that the webhook was removed.</w:t>
      </w:r>
    </w:p>
    <w:p>
      <w:pPr>
        <w:pStyle w:val="ListBullet"/>
      </w:pPr>
      <w:r>
        <w:rPr>
          <w:rFonts w:ascii="Times New Roman" w:hAnsi="Times New Roman" w:eastAsia="Times New Roman"/>
          <w:sz w:val="22"/>
        </w:rPr>
        <w:t>One later appendix fragment in the original file reported criterion means of 4.81/4.75/4.78. That fragment belonged to the duplicated Appendix B block and was removed with the duplicate. The verified workbook means of 4.56/4.54/4.56/4.46/4.52/4.53 were retained.</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