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hAnsi="宋体" w:eastAsia="宋体"/>
          <w:b/>
          <w:sz w:val="96"/>
        </w:rPr>
        <w:t>计算书</w:t>
      </w:r>
    </w:p>
    <w:p/>
    <w:p/>
    <w:p/>
    <w:tbl>
      <w:tblPr>
        <w:tblStyle w:val="23"/>
        <w:tblW w:w="0" w:type="auto"/>
        <w:jc w:val="center"/>
        <w:tblLayout w:type="autofit"/>
        <w:tblCellMar>
          <w:top w:w="0" w:type="dxa"/>
          <w:left w:w="108" w:type="dxa"/>
          <w:bottom w:w="0" w:type="dxa"/>
          <w:right w:w="108" w:type="dxa"/>
        </w:tblCellMar>
      </w:tblPr>
      <w:tblGrid>
        <w:gridCol w:w="4148"/>
        <w:gridCol w:w="4148"/>
      </w:tblGrid>
      <w:tr>
        <w:tblPrEx>
          <w:tblCellMar>
            <w:top w:w="0" w:type="dxa"/>
            <w:left w:w="108" w:type="dxa"/>
            <w:bottom w:w="0" w:type="dxa"/>
            <w:right w:w="108" w:type="dxa"/>
          </w:tblCellMar>
        </w:tblPrEx>
        <w:trPr>
          <w:jc w:val="center"/>
        </w:trPr>
        <w:tc>
          <w:tcPr>
            <w:tcW w:w="4148" w:type="dxa"/>
          </w:tcPr>
          <w:p>
            <w:pPr>
              <w:pStyle w:val="24"/>
              <w:rPr>
                <w:rFonts w:hint="default"/>
              </w:rPr>
            </w:pPr>
            <w:r>
              <w:t>项目编号：No.1</w:t>
            </w:r>
          </w:p>
        </w:tc>
        <w:tc>
          <w:tcPr>
            <w:tcW w:w="4148" w:type="dxa"/>
          </w:tcPr>
          <w:p>
            <w:pPr>
              <w:pStyle w:val="24"/>
              <w:rPr>
                <w:rFonts w:hint="default"/>
              </w:rPr>
            </w:pPr>
            <w:r>
              <w:t>项目名称：______项目</w:t>
            </w:r>
          </w:p>
        </w:tc>
      </w:tr>
      <w:tr>
        <w:tblPrEx>
          <w:tblCellMar>
            <w:top w:w="0" w:type="dxa"/>
            <w:left w:w="108" w:type="dxa"/>
            <w:bottom w:w="0" w:type="dxa"/>
            <w:right w:w="108" w:type="dxa"/>
          </w:tblCellMar>
        </w:tblPrEx>
        <w:trPr>
          <w:jc w:val="center"/>
        </w:trPr>
        <w:tc>
          <w:tcPr>
            <w:tcW w:w="4148" w:type="dxa"/>
          </w:tcPr>
          <w:p>
            <w:pPr>
              <w:pStyle w:val="24"/>
              <w:rPr>
                <w:rFonts w:hint="default"/>
              </w:rPr>
            </w:pPr>
            <w:r>
              <w:t>计算人：______设计师</w:t>
            </w:r>
          </w:p>
        </w:tc>
        <w:tc>
          <w:tcPr>
            <w:tcW w:w="4148" w:type="dxa"/>
          </w:tcPr>
          <w:p>
            <w:pPr>
              <w:pStyle w:val="24"/>
              <w:rPr>
                <w:rFonts w:hint="default"/>
              </w:rPr>
            </w:pPr>
            <w:r>
              <w:t>专业负责人：______总工</w:t>
            </w:r>
          </w:p>
        </w:tc>
      </w:tr>
      <w:tr>
        <w:tblPrEx>
          <w:tblCellMar>
            <w:top w:w="0" w:type="dxa"/>
            <w:left w:w="108" w:type="dxa"/>
            <w:bottom w:w="0" w:type="dxa"/>
            <w:right w:w="108" w:type="dxa"/>
          </w:tblCellMar>
        </w:tblPrEx>
        <w:trPr>
          <w:jc w:val="center"/>
        </w:trPr>
        <w:tc>
          <w:tcPr>
            <w:tcW w:w="4148" w:type="dxa"/>
          </w:tcPr>
          <w:p>
            <w:pPr>
              <w:pStyle w:val="24"/>
              <w:rPr>
                <w:rFonts w:hint="default"/>
              </w:rPr>
            </w:pPr>
            <w:r>
              <w:t>审核人：______设计师</w:t>
            </w:r>
          </w:p>
        </w:tc>
        <w:tc>
          <w:tcPr>
            <w:tcW w:w="4148" w:type="dxa"/>
          </w:tcPr>
          <w:p>
            <w:pPr>
              <w:pStyle w:val="24"/>
              <w:rPr>
                <w:rFonts w:hint="default"/>
              </w:rPr>
            </w:pPr>
            <w:r>
              <w:t>日期：</w:t>
            </w:r>
          </w:p>
        </w:tc>
      </w:tr>
    </w:tbl>
    <w:p/>
    <w:p/>
    <w:p/>
    <w:p/>
    <w:p/>
    <w:p/>
    <w:p/>
    <w:p/>
    <w:p/>
    <w:p/>
    <w:p/>
    <w:p/>
    <w:p/>
    <w:p/>
    <w:p/>
    <w:p/>
    <w:p/>
    <w:p/>
    <w:p/>
    <w:p/>
    <w:p>
      <w:pPr>
        <w:jc w:val="center"/>
      </w:pPr>
    </w:p>
    <w:p>
      <w:pPr>
        <w:jc w:val="center"/>
      </w:pPr>
      <w:r>
        <w:rPr>
          <w:rFonts w:hint="eastAsia" w:hAnsi="宋体" w:eastAsia="宋体"/>
          <w:b/>
          <w:sz w:val="40"/>
        </w:rPr>
        <w:t>广州颖力科技</w:t>
      </w:r>
    </w:p>
    <w:p>
      <w:pPr>
        <w:sectPr>
          <w:pgSz w:w="23811" w:h="16838" w:orient="landscape"/>
          <w:pgMar w:top="1440" w:right="1800" w:bottom="1440" w:left="1800" w:header="720" w:footer="720" w:gutter="0"/>
          <w:cols w:space="425" w:num="1"/>
          <w:docGrid w:type="lines" w:linePitch="312" w:charSpace="0"/>
        </w:sectPr>
      </w:pPr>
    </w:p>
    <w:p>
      <w:r>
        <w:br w:type="page"/>
      </w:r>
    </w:p>
    <w:sdt>
      <w:sdtPr>
        <w:rPr>
          <w:rFonts w:hint="default" w:ascii="Times New Roman" w:hAnsi="Times New Roman" w:eastAsia="Times New Roman" w:cstheme="minorBidi"/>
          <w:b w:val="0"/>
          <w:sz w:val="21"/>
        </w:rPr>
        <w:id w:val="1"/>
      </w:sdtPr>
      <w:sdtEndPr>
        <w:rPr>
          <w:rFonts w:hint="default" w:ascii="Times New Roman" w:hAnsi="Times New Roman" w:eastAsia="Times New Roman" w:cstheme="minorBidi"/>
          <w:b w:val="0"/>
          <w:sz w:val="21"/>
        </w:rPr>
      </w:sdtEndPr>
      <w:sdtContent>
        <w:p>
          <w:pPr>
            <w:pStyle w:val="22"/>
            <w:rPr>
              <w:rFonts w:hint="default"/>
            </w:rPr>
          </w:pPr>
          <w:bookmarkStart w:id="0" w:name="_Toc112924632"/>
          <w:r>
            <w:t>目录</w:t>
          </w:r>
          <w:bookmarkEnd w:id="0"/>
        </w:p>
        <w:p>
          <w:pPr>
            <w:pStyle w:val="12"/>
            <w:tabs>
              <w:tab w:val="right" w:leader="dot" w:pos="9675"/>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"_Toc112924632" </w:instrText>
          </w:r>
          <w:r>
            <w:fldChar w:fldCharType="separate"/>
          </w:r>
          <w:r>
            <w:rPr>
              <w:rStyle w:val="20"/>
            </w:rPr>
            <w:t>目录</w:t>
          </w:r>
          <w:r>
            <w:tab/>
          </w:r>
          <w:r>
            <w:fldChar w:fldCharType="begin"/>
          </w:r>
          <w:r>
            <w:instrText xml:space="preserve"> PAGEREF _Toc112924632 \h </w:instrText>
          </w:r>
          <w:r>
            <w:fldChar w:fldCharType="separate"/>
          </w:r>
          <w:r>
            <w:t>1</w:t>
          </w:r>
          <w:r>
            <w:fldChar w:fldCharType="end"/>
          </w:r>
          <w:r>
            <w:fldChar w:fldCharType="end"/>
          </w:r>
        </w:p>
        <w:p>
          <w:pPr>
            <w:pStyle w:val="12"/>
            <w:tabs>
              <w:tab w:val="right" w:leader="dot" w:pos="9675"/>
            </w:tabs>
            <w:rPr>
              <w:rFonts w:asciiTheme="minorHAnsi" w:hAnsiTheme="minorHAnsi" w:eastAsiaTheme="minorEastAsia" w:cstheme="minorBidi"/>
            </w:rPr>
          </w:pPr>
          <w:r>
            <w:fldChar w:fldCharType="begin"/>
          </w:r>
          <w:r>
            <w:instrText xml:space="preserve"> HYPERLINK \l "_Toc112924633" </w:instrText>
          </w:r>
          <w:r>
            <w:fldChar w:fldCharType="separate"/>
          </w:r>
          <w:r>
            <w:rPr>
              <w:rStyle w:val="20"/>
            </w:rPr>
            <w:t>第1章 工程概况</w:t>
          </w:r>
          <w:r>
            <w:tab/>
          </w:r>
          <w:r>
            <w:fldChar w:fldCharType="begin"/>
          </w:r>
          <w:r>
            <w:instrText xml:space="preserve"> PAGEREF _Toc112924633 \h </w:instrText>
          </w:r>
          <w:r>
            <w:fldChar w:fldCharType="separate"/>
          </w:r>
          <w:r>
            <w:t>2</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"_Toc112924634" </w:instrText>
          </w:r>
          <w:r>
            <w:fldChar w:fldCharType="separate"/>
          </w:r>
          <w:r>
            <w:rPr>
              <w:rStyle w:val="20"/>
            </w:rPr>
            <w:t>1.1 车站结构与站址环境</w:t>
          </w:r>
          <w:r>
            <w:tab/>
          </w:r>
          <w:r>
            <w:fldChar w:fldCharType="begin"/>
          </w:r>
          <w:r>
            <w:instrText xml:space="preserve"> PAGEREF _Toc112924634 \h </w:instrText>
          </w:r>
          <w:r>
            <w:fldChar w:fldCharType="separate"/>
          </w:r>
          <w:r>
            <w:t>2</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"_Toc112924635" </w:instrText>
          </w:r>
          <w:r>
            <w:fldChar w:fldCharType="separate"/>
          </w:r>
          <w:r>
            <w:rPr>
              <w:rStyle w:val="20"/>
            </w:rPr>
            <w:t>1.2 工程地质</w:t>
          </w:r>
          <w:r>
            <w:tab/>
          </w:r>
          <w:r>
            <w:fldChar w:fldCharType="begin"/>
          </w:r>
          <w:r>
            <w:instrText xml:space="preserve"> PAGEREF _Toc112924635 \h </w:instrText>
          </w:r>
          <w:r>
            <w:fldChar w:fldCharType="separate"/>
          </w:r>
          <w:r>
            <w:t>2</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"_Toc112924636" </w:instrText>
          </w:r>
          <w:r>
            <w:fldChar w:fldCharType="separate"/>
          </w:r>
          <w:r>
            <w:rPr>
              <w:rStyle w:val="20"/>
            </w:rPr>
            <w:t>1.3 水文地质</w:t>
          </w:r>
          <w:r>
            <w:tab/>
          </w:r>
          <w:r>
            <w:fldChar w:fldCharType="begin"/>
          </w:r>
          <w:r>
            <w:instrText xml:space="preserve"> PAGEREF _Toc112924636 \h </w:instrText>
          </w:r>
          <w:r>
            <w:fldChar w:fldCharType="separate"/>
          </w:r>
          <w:r>
            <w:t>2</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"_Toc112924637" </w:instrText>
          </w:r>
          <w:r>
            <w:fldChar w:fldCharType="separate"/>
          </w:r>
          <w:r>
            <w:rPr>
              <w:rStyle w:val="20"/>
            </w:rPr>
            <w:t>1.4 建筑场地类别及地震动参数</w:t>
          </w:r>
          <w:r>
            <w:tab/>
          </w:r>
          <w:r>
            <w:fldChar w:fldCharType="begin"/>
          </w:r>
          <w:r>
            <w:instrText xml:space="preserve"> PAGEREF _Toc112924637 \h </w:instrText>
          </w:r>
          <w:r>
            <w:fldChar w:fldCharType="separate"/>
          </w:r>
          <w:r>
            <w:t>2</w:t>
          </w:r>
          <w:r>
            <w:fldChar w:fldCharType="end"/>
          </w:r>
          <w:r>
            <w:fldChar w:fldCharType="end"/>
          </w:r>
        </w:p>
        <w:p>
          <w:pPr>
            <w:pStyle w:val="12"/>
            <w:tabs>
              <w:tab w:val="right" w:leader="dot" w:pos="9675"/>
            </w:tabs>
            <w:rPr>
              <w:rFonts w:asciiTheme="minorHAnsi" w:hAnsiTheme="minorHAnsi" w:eastAsiaTheme="minorEastAsia" w:cstheme="minorBidi"/>
            </w:rPr>
          </w:pPr>
          <w:r>
            <w:fldChar w:fldCharType="begin"/>
          </w:r>
          <w:r>
            <w:instrText xml:space="preserve"> HYPERLINK \l "_Toc112924638" </w:instrText>
          </w:r>
          <w:r>
            <w:fldChar w:fldCharType="separate"/>
          </w:r>
          <w:r>
            <w:rPr>
              <w:rStyle w:val="20"/>
            </w:rPr>
            <w:t>第2章 设计要求</w:t>
          </w:r>
          <w:r>
            <w:tab/>
          </w:r>
          <w:r>
            <w:fldChar w:fldCharType="begin"/>
          </w:r>
          <w:r>
            <w:instrText xml:space="preserve"> PAGEREF _Toc112924638 \h </w:instrText>
          </w:r>
          <w:r>
            <w:fldChar w:fldCharType="separate"/>
          </w:r>
          <w:r>
            <w:t>3</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"_Toc112924639" </w:instrText>
          </w:r>
          <w:r>
            <w:fldChar w:fldCharType="separate"/>
          </w:r>
          <w:r>
            <w:rPr>
              <w:rStyle w:val="20"/>
            </w:rPr>
            <w:t>2.1 设计依据</w:t>
          </w:r>
          <w:r>
            <w:tab/>
          </w:r>
          <w:r>
            <w:fldChar w:fldCharType="begin"/>
          </w:r>
          <w:r>
            <w:instrText xml:space="preserve"> PAGEREF _Toc112924639 \h </w:instrText>
          </w:r>
          <w:r>
            <w:fldChar w:fldCharType="separate"/>
          </w:r>
          <w:r>
            <w:t>3</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"_Toc112924640" </w:instrText>
          </w:r>
          <w:r>
            <w:fldChar w:fldCharType="separate"/>
          </w:r>
          <w:r>
            <w:rPr>
              <w:rStyle w:val="20"/>
            </w:rPr>
            <w:t>2.2 工程资料</w:t>
          </w:r>
          <w:r>
            <w:tab/>
          </w:r>
          <w:r>
            <w:fldChar w:fldCharType="begin"/>
          </w:r>
          <w:r>
            <w:instrText xml:space="preserve"> PAGEREF _Toc112924640 \h </w:instrText>
          </w:r>
          <w:r>
            <w:fldChar w:fldCharType="separate"/>
          </w:r>
          <w:r>
            <w:t>3</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"_Toc112924641" </w:instrText>
          </w:r>
          <w:r>
            <w:fldChar w:fldCharType="separate"/>
          </w:r>
          <w:r>
            <w:rPr>
              <w:rStyle w:val="20"/>
            </w:rPr>
            <w:t>2.3 抗震设防目标和性能要求</w:t>
          </w:r>
          <w:r>
            <w:tab/>
          </w:r>
          <w:r>
            <w:fldChar w:fldCharType="begin"/>
          </w:r>
          <w:r>
            <w:instrText xml:space="preserve"> PAGEREF _Toc112924641 \h </w:instrText>
          </w:r>
          <w:r>
            <w:fldChar w:fldCharType="separate"/>
          </w:r>
          <w:r>
            <w:t>3</w:t>
          </w:r>
          <w:r>
            <w:fldChar w:fldCharType="end"/>
          </w:r>
          <w:r>
            <w:fldChar w:fldCharType="end"/>
          </w:r>
        </w:p>
        <w:p>
          <w:pPr>
            <w:pStyle w:val="9"/>
            <w:tabs>
              <w:tab w:val="right" w:leader="dot" w:pos="9675"/>
            </w:tabs>
            <w:rPr>
              <w:rFonts w:asciiTheme="minorHAnsi" w:hAnsiTheme="minorHAnsi" w:eastAsiaTheme="minorEastAsia" w:cstheme="minorBidi"/>
            </w:rPr>
          </w:pPr>
          <w:r>
            <w:fldChar w:fldCharType="begin"/>
          </w:r>
          <w:r>
            <w:instrText xml:space="preserve"> HYPERLINK \l "_Toc112924642" </w:instrText>
          </w:r>
          <w:r>
            <w:fldChar w:fldCharType="separate"/>
          </w:r>
          <w:r>
            <w:rPr>
              <w:rStyle w:val="20"/>
            </w:rPr>
            <w:t>2.3.1 设防目标</w:t>
          </w:r>
          <w:r>
            <w:tab/>
          </w:r>
          <w:r>
            <w:fldChar w:fldCharType="begin"/>
          </w:r>
          <w:r>
            <w:instrText xml:space="preserve"> PAGEREF _Toc112924642 \h </w:instrText>
          </w:r>
          <w:r>
            <w:fldChar w:fldCharType="separate"/>
          </w:r>
          <w:r>
            <w:t>3</w:t>
          </w:r>
          <w:r>
            <w:fldChar w:fldCharType="end"/>
          </w:r>
          <w:r>
            <w:fldChar w:fldCharType="end"/>
          </w:r>
        </w:p>
        <w:p>
          <w:pPr>
            <w:pStyle w:val="9"/>
            <w:tabs>
              <w:tab w:val="right" w:leader="dot" w:pos="9675"/>
            </w:tabs>
            <w:rPr>
              <w:rFonts w:asciiTheme="minorHAnsi" w:hAnsiTheme="minorHAnsi" w:eastAsiaTheme="minorEastAsia" w:cstheme="minorBidi"/>
            </w:rPr>
          </w:pPr>
          <w:r>
            <w:fldChar w:fldCharType="begin"/>
          </w:r>
          <w:r>
            <w:instrText xml:space="preserve"> HYPERLINK \l "_Toc112924643" </w:instrText>
          </w:r>
          <w:r>
            <w:fldChar w:fldCharType="separate"/>
          </w:r>
          <w:r>
            <w:rPr>
              <w:rStyle w:val="20"/>
            </w:rPr>
            <w:t>2.3.2 性能要求</w:t>
          </w:r>
          <w:r>
            <w:tab/>
          </w:r>
          <w:r>
            <w:fldChar w:fldCharType="begin"/>
          </w:r>
          <w:r>
            <w:instrText xml:space="preserve"> PAGEREF _Toc112924643 \h </w:instrText>
          </w:r>
          <w:r>
            <w:fldChar w:fldCharType="separate"/>
          </w:r>
          <w:r>
            <w:t>3</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"_Toc112924644" </w:instrText>
          </w:r>
          <w:r>
            <w:fldChar w:fldCharType="separate"/>
          </w:r>
          <w:r>
            <w:rPr>
              <w:rStyle w:val="20"/>
            </w:rPr>
            <w:t>2.4 设计原则</w:t>
          </w:r>
          <w:r>
            <w:tab/>
          </w:r>
          <w:r>
            <w:fldChar w:fldCharType="begin"/>
          </w:r>
          <w:r>
            <w:instrText xml:space="preserve"> PAGEREF _Toc112924644 \h </w:instrText>
          </w:r>
          <w:r>
            <w:fldChar w:fldCharType="separate"/>
          </w:r>
          <w:r>
            <w:t>3</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"_Toc112924645" </w:instrText>
          </w:r>
          <w:r>
            <w:fldChar w:fldCharType="separate"/>
          </w:r>
          <w:r>
            <w:rPr>
              <w:rStyle w:val="20"/>
            </w:rPr>
            <w:t>2.5 工程报告</w:t>
          </w:r>
          <w:r>
            <w:tab/>
          </w:r>
          <w:r>
            <w:fldChar w:fldCharType="begin"/>
          </w:r>
          <w:r>
            <w:instrText xml:space="preserve"> PAGEREF _Toc112924645 \h </w:instrText>
          </w:r>
          <w:r>
            <w:fldChar w:fldCharType="separate"/>
          </w:r>
          <w:r>
            <w:t>3</w:t>
          </w:r>
          <w:r>
            <w:fldChar w:fldCharType="end"/>
          </w:r>
          <w:r>
            <w:fldChar w:fldCharType="end"/>
          </w:r>
        </w:p>
        <w:p>
          <w:pPr>
            <w:pStyle w:val="12"/>
            <w:tabs>
              <w:tab w:val="right" w:leader="dot" w:pos="9675"/>
            </w:tabs>
            <w:rPr>
              <w:rFonts w:asciiTheme="minorHAnsi" w:hAnsiTheme="minorHAnsi" w:eastAsiaTheme="minorEastAsia" w:cstheme="minorBidi"/>
            </w:rPr>
          </w:pPr>
          <w:r>
            <w:fldChar w:fldCharType="begin"/>
          </w:r>
          <w:r>
            <w:instrText xml:space="preserve"> HYPERLINK \l "_Toc112924646" </w:instrText>
          </w:r>
          <w:r>
            <w:fldChar w:fldCharType="separate"/>
          </w:r>
          <w:r>
            <w:rPr>
              <w:rStyle w:val="20"/>
            </w:rPr>
            <w:t>第3章 设计方法</w:t>
          </w:r>
          <w:r>
            <w:tab/>
          </w:r>
          <w:r>
            <w:fldChar w:fldCharType="begin"/>
          </w:r>
          <w:r>
            <w:instrText xml:space="preserve"> PAGEREF _Toc112924646 \h </w:instrText>
          </w:r>
          <w:r>
            <w:fldChar w:fldCharType="separate"/>
          </w:r>
          <w:r>
            <w:t>4</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"_Toc112924647" </w:instrText>
          </w:r>
          <w:r>
            <w:fldChar w:fldCharType="separate"/>
          </w:r>
          <w:r>
            <w:rPr>
              <w:rStyle w:val="20"/>
            </w:rPr>
            <w:t>3.1 反应位移法</w:t>
          </w:r>
          <w:r>
            <w:tab/>
          </w:r>
          <w:r>
            <w:fldChar w:fldCharType="begin"/>
          </w:r>
          <w:r>
            <w:instrText xml:space="preserve"> PAGEREF _Toc112924647 \h </w:instrText>
          </w:r>
          <w:r>
            <w:fldChar w:fldCharType="separate"/>
          </w:r>
          <w:r>
            <w:t>4</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"_Toc112924648" </w:instrText>
          </w:r>
          <w:r>
            <w:fldChar w:fldCharType="separate"/>
          </w:r>
          <w:r>
            <w:rPr>
              <w:rStyle w:val="20"/>
            </w:rPr>
            <w:t>3.2 反应加速度法</w:t>
          </w:r>
          <w:r>
            <w:tab/>
          </w:r>
          <w:r>
            <w:fldChar w:fldCharType="begin"/>
          </w:r>
          <w:r>
            <w:instrText xml:space="preserve"> PAGEREF _Toc112924648 \h </w:instrText>
          </w:r>
          <w:r>
            <w:fldChar w:fldCharType="separate"/>
          </w:r>
          <w:r>
            <w:t>5</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"_Toc112924649" </w:instrText>
          </w:r>
          <w:r>
            <w:fldChar w:fldCharType="separate"/>
          </w:r>
          <w:r>
            <w:rPr>
              <w:rStyle w:val="20"/>
            </w:rPr>
            <w:t>3.3 时程分析法</w:t>
          </w:r>
          <w:r>
            <w:tab/>
          </w:r>
          <w:r>
            <w:fldChar w:fldCharType="begin"/>
          </w:r>
          <w:r>
            <w:instrText xml:space="preserve"> PAGEREF _Toc112924649 \h </w:instrText>
          </w:r>
          <w:r>
            <w:fldChar w:fldCharType="separate"/>
          </w:r>
          <w:r>
            <w:t>5</w:t>
          </w:r>
          <w:r>
            <w:fldChar w:fldCharType="end"/>
          </w:r>
          <w:r>
            <w:fldChar w:fldCharType="end"/>
          </w:r>
        </w:p>
        <w:p>
          <w:pPr>
            <w:pStyle w:val="12"/>
            <w:tabs>
              <w:tab w:val="right" w:leader="dot" w:pos="9675"/>
            </w:tabs>
            <w:rPr>
              <w:rFonts w:asciiTheme="minorHAnsi" w:hAnsiTheme="minorHAnsi" w:eastAsiaTheme="minorEastAsia" w:cstheme="minorBidi"/>
            </w:rPr>
          </w:pPr>
          <w:r>
            <w:fldChar w:fldCharType="begin"/>
          </w:r>
          <w:r>
            <w:instrText xml:space="preserve"> HYPERLINK \l "_Toc112924650" </w:instrText>
          </w:r>
          <w:r>
            <w:fldChar w:fldCharType="separate"/>
          </w:r>
          <w:r>
            <w:rPr>
              <w:rStyle w:val="20"/>
            </w:rPr>
            <w:t>第4章 计算模型及荷载</w:t>
          </w:r>
          <w:r>
            <w:tab/>
          </w:r>
          <w:r>
            <w:fldChar w:fldCharType="begin"/>
          </w:r>
          <w:r>
            <w:instrText xml:space="preserve"> PAGEREF _Toc112924650 \h </w:instrText>
          </w:r>
          <w:r>
            <w:fldChar w:fldCharType="separate"/>
          </w:r>
          <w:r>
            <w:t>8</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"_Toc112924651" </w:instrText>
          </w:r>
          <w:r>
            <w:fldChar w:fldCharType="separate"/>
          </w:r>
          <w:r>
            <w:rPr>
              <w:rStyle w:val="20"/>
            </w:rPr>
            <w:t>4.1 计算模型</w:t>
          </w:r>
          <w:r>
            <w:tab/>
          </w:r>
          <w:r>
            <w:fldChar w:fldCharType="begin"/>
          </w:r>
          <w:r>
            <w:instrText xml:space="preserve"> PAGEREF _Toc112924651 \h </w:instrText>
          </w:r>
          <w:r>
            <w:fldChar w:fldCharType="separate"/>
          </w:r>
          <w:r>
            <w:t>8</w:t>
          </w:r>
          <w:r>
            <w:fldChar w:fldCharType="end"/>
          </w:r>
          <w:r>
            <w:fldChar w:fldCharType="end"/>
          </w:r>
        </w:p>
        <w:p>
          <w:pPr>
            <w:pStyle w:val="9"/>
            <w:tabs>
              <w:tab w:val="right" w:leader="dot" w:pos="9675"/>
            </w:tabs>
            <w:rPr>
              <w:rFonts w:asciiTheme="minorHAnsi" w:hAnsiTheme="minorHAnsi" w:eastAsiaTheme="minorEastAsia" w:cstheme="minorBidi"/>
            </w:rPr>
          </w:pPr>
          <w:r>
            <w:fldChar w:fldCharType="begin"/>
          </w:r>
          <w:r>
            <w:instrText xml:space="preserve"> HYPERLINK \l "_Toc112924652" </w:instrText>
          </w:r>
          <w:r>
            <w:fldChar w:fldCharType="separate"/>
          </w:r>
          <w:r>
            <w:rPr>
              <w:rStyle w:val="20"/>
            </w:rPr>
            <w:t>4.1.1 模型简图</w:t>
          </w:r>
          <w:r>
            <w:tab/>
          </w:r>
          <w:r>
            <w:fldChar w:fldCharType="begin"/>
          </w:r>
          <w:r>
            <w:instrText xml:space="preserve"> PAGEREF _Toc112924652 \h </w:instrText>
          </w:r>
          <w:r>
            <w:fldChar w:fldCharType="separate"/>
          </w:r>
          <w:r>
            <w:t>8</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"_Toc112924653" </w:instrText>
          </w:r>
          <w:r>
            <w:fldChar w:fldCharType="separate"/>
          </w:r>
          <w:r>
            <w:rPr>
              <w:rStyle w:val="20"/>
            </w:rPr>
            <w:t>4.2 材料参数</w:t>
          </w:r>
          <w:r>
            <w:tab/>
          </w:r>
          <w:r>
            <w:fldChar w:fldCharType="begin"/>
          </w:r>
          <w:r>
            <w:instrText xml:space="preserve"> PAGEREF _Toc112924653 \h </w:instrText>
          </w:r>
          <w:r>
            <w:fldChar w:fldCharType="separate"/>
          </w:r>
          <w:r>
            <w:t>8</w:t>
          </w:r>
          <w:r>
            <w:fldChar w:fldCharType="end"/>
          </w:r>
          <w:r>
            <w:fldChar w:fldCharType="end"/>
          </w:r>
        </w:p>
        <w:p>
          <w:pPr>
            <w:pStyle w:val="9"/>
            <w:tabs>
              <w:tab w:val="right" w:leader="dot" w:pos="9675"/>
            </w:tabs>
            <w:rPr>
              <w:rFonts w:asciiTheme="minorHAnsi" w:hAnsiTheme="minorHAnsi" w:eastAsiaTheme="minorEastAsia" w:cstheme="minorBidi"/>
            </w:rPr>
          </w:pPr>
          <w:r>
            <w:fldChar w:fldCharType="begin"/>
          </w:r>
          <w:r>
            <w:instrText xml:space="preserve"> HYPERLINK \l "_Toc112924654" </w:instrText>
          </w:r>
          <w:r>
            <w:fldChar w:fldCharType="separate"/>
          </w:r>
          <w:r>
            <w:rPr>
              <w:rStyle w:val="20"/>
            </w:rPr>
            <w:t>4.2.1 结构材料信息</w:t>
          </w:r>
          <w:r>
            <w:tab/>
          </w:r>
          <w:r>
            <w:fldChar w:fldCharType="begin"/>
          </w:r>
          <w:r>
            <w:instrText xml:space="preserve"> PAGEREF _Toc112924654 \h </w:instrText>
          </w:r>
          <w:r>
            <w:fldChar w:fldCharType="separate"/>
          </w:r>
          <w:r>
            <w:t>8</w:t>
          </w:r>
          <w:r>
            <w:fldChar w:fldCharType="end"/>
          </w:r>
          <w:r>
            <w:fldChar w:fldCharType="end"/>
          </w:r>
        </w:p>
        <w:p>
          <w:pPr>
            <w:pStyle w:val="9"/>
            <w:tabs>
              <w:tab w:val="right" w:leader="dot" w:pos="9675"/>
            </w:tabs>
            <w:rPr>
              <w:rFonts w:asciiTheme="minorHAnsi" w:hAnsiTheme="minorHAnsi" w:eastAsiaTheme="minorEastAsia" w:cstheme="minorBidi"/>
            </w:rPr>
          </w:pPr>
          <w:r>
            <w:fldChar w:fldCharType="begin"/>
          </w:r>
          <w:r>
            <w:instrText xml:space="preserve"> HYPERLINK \l "_Toc112924655" </w:instrText>
          </w:r>
          <w:r>
            <w:fldChar w:fldCharType="separate"/>
          </w:r>
          <w:r>
            <w:rPr>
              <w:rStyle w:val="20"/>
            </w:rPr>
            <w:t>4.2.2 土动参数信息</w:t>
          </w:r>
          <w:r>
            <w:tab/>
          </w:r>
          <w:r>
            <w:fldChar w:fldCharType="begin"/>
          </w:r>
          <w:r>
            <w:instrText xml:space="preserve"> PAGEREF _Toc112924655 \h </w:instrText>
          </w:r>
          <w:r>
            <w:fldChar w:fldCharType="separate"/>
          </w:r>
          <w:r>
            <w:t>8</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"_Toc112924656" </w:instrText>
          </w:r>
          <w:r>
            <w:fldChar w:fldCharType="separate"/>
          </w:r>
          <w:r>
            <w:rPr>
              <w:rStyle w:val="20"/>
            </w:rPr>
            <w:t>4.3 荷载分类</w:t>
          </w:r>
          <w:r>
            <w:tab/>
          </w:r>
          <w:r>
            <w:fldChar w:fldCharType="begin"/>
          </w:r>
          <w:r>
            <w:instrText xml:space="preserve"> PAGEREF _Toc112924656 \h </w:instrText>
          </w:r>
          <w:r>
            <w:fldChar w:fldCharType="separate"/>
          </w:r>
          <w:r>
            <w:t>8</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"_Toc112924657" </w:instrText>
          </w:r>
          <w:r>
            <w:fldChar w:fldCharType="separate"/>
          </w:r>
          <w:r>
            <w:rPr>
              <w:rStyle w:val="20"/>
            </w:rPr>
            <w:t>4.4 地震动</w:t>
          </w:r>
          <w:r>
            <w:tab/>
          </w:r>
          <w:r>
            <w:fldChar w:fldCharType="begin"/>
          </w:r>
          <w:r>
            <w:instrText xml:space="preserve"> PAGEREF _Toc112924657 \h </w:instrText>
          </w:r>
          <w:r>
            <w:fldChar w:fldCharType="separate"/>
          </w:r>
          <w:r>
            <w:t>9</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"_Toc112924658" </w:instrText>
          </w:r>
          <w:r>
            <w:fldChar w:fldCharType="separate"/>
          </w:r>
          <w:r>
            <w:rPr>
              <w:rStyle w:val="20"/>
            </w:rPr>
            <w:t>4.5 荷载组合</w:t>
          </w:r>
          <w:r>
            <w:tab/>
          </w:r>
          <w:r>
            <w:fldChar w:fldCharType="begin"/>
          </w:r>
          <w:r>
            <w:instrText xml:space="preserve"> PAGEREF _Toc112924658 \h </w:instrText>
          </w:r>
          <w:r>
            <w:fldChar w:fldCharType="separate"/>
          </w:r>
          <w:r>
            <w:t>11</w:t>
          </w:r>
          <w:r>
            <w:fldChar w:fldCharType="end"/>
          </w:r>
          <w:r>
            <w:fldChar w:fldCharType="end"/>
          </w:r>
        </w:p>
        <w:p>
          <w:pPr>
            <w:pStyle w:val="12"/>
            <w:tabs>
              <w:tab w:val="right" w:leader="dot" w:pos="9675"/>
            </w:tabs>
            <w:rPr>
              <w:rFonts w:asciiTheme="minorHAnsi" w:hAnsiTheme="minorHAnsi" w:eastAsiaTheme="minorEastAsia" w:cstheme="minorBidi"/>
            </w:rPr>
          </w:pPr>
          <w:r>
            <w:fldChar w:fldCharType="begin"/>
          </w:r>
          <w:r>
            <w:instrText xml:space="preserve"> HYPERLINK \l "_Toc112924659" </w:instrText>
          </w:r>
          <w:r>
            <w:fldChar w:fldCharType="separate"/>
          </w:r>
          <w:r>
            <w:rPr>
              <w:rStyle w:val="20"/>
            </w:rPr>
            <w:t>第5章 E2设计结果</w:t>
          </w:r>
          <w:r>
            <w:tab/>
          </w:r>
          <w:r>
            <w:fldChar w:fldCharType="begin"/>
          </w:r>
          <w:r>
            <w:instrText xml:space="preserve"> PAGEREF _Toc112924659 \h </w:instrText>
          </w:r>
          <w:r>
            <w:fldChar w:fldCharType="separate"/>
          </w:r>
          <w:r>
            <w:t>13</w:t>
          </w:r>
          <w:r>
            <w:fldChar w:fldCharType="end"/>
          </w:r>
          <w:r>
            <w:fldChar w:fldCharType="end"/>
          </w:r>
        </w:p>
        <w:p>
          <w:pPr>
            <w:pStyle w:val="15"/>
            <w:tabs>
              <w:tab w:val="right" w:leader="dot" w:pos="9675"/>
            </w:tabs>
            <w:rPr>
              <w:rFonts w:asciiTheme="minorHAnsi" w:hAnsiTheme="minorHAnsi" w:eastAsiaTheme="minorEastAsia" w:cstheme="minorBidi"/>
            </w:rPr>
          </w:pPr>
          <w:r>
            <w:fldChar w:fldCharType="begin"/>
          </w:r>
          <w:r>
            <w:instrText xml:space="preserve"> HYPERLINK \l "_Toc112924660" </w:instrText>
          </w:r>
          <w:r>
            <w:fldChar w:fldCharType="separate"/>
          </w:r>
          <w:r>
            <w:rPr>
              <w:rStyle w:val="20"/>
            </w:rPr>
            <w:t>5.1 E2地震下抗震性能评价</w:t>
          </w:r>
          <w:r>
            <w:tab/>
          </w:r>
          <w:r>
            <w:fldChar w:fldCharType="begin"/>
          </w:r>
          <w:r>
            <w:instrText xml:space="preserve"> PAGEREF _Toc112924660 \h </w:instrText>
          </w:r>
          <w:r>
            <w:fldChar w:fldCharType="separate"/>
          </w:r>
          <w:r>
            <w:t>13</w:t>
          </w:r>
          <w:r>
            <w:fldChar w:fldCharType="end"/>
          </w:r>
          <w:r>
            <w:fldChar w:fldCharType="end"/>
          </w:r>
        </w:p>
        <w:p>
          <w:pPr>
            <w:pStyle w:val="9"/>
            <w:tabs>
              <w:tab w:val="right" w:leader="dot" w:pos="9675"/>
            </w:tabs>
            <w:rPr>
              <w:rFonts w:asciiTheme="minorHAnsi" w:hAnsiTheme="minorHAnsi" w:eastAsiaTheme="minorEastAsia" w:cstheme="minorBidi"/>
            </w:rPr>
          </w:pPr>
          <w:r>
            <w:fldChar w:fldCharType="begin"/>
          </w:r>
          <w:r>
            <w:instrText xml:space="preserve"> HYPERLINK \l "_Toc112924661" </w:instrText>
          </w:r>
          <w:r>
            <w:fldChar w:fldCharType="separate"/>
          </w:r>
          <w:r>
            <w:rPr>
              <w:rStyle w:val="20"/>
            </w:rPr>
            <w:t>5.1.1 位移角</w:t>
          </w:r>
          <w:r>
            <w:tab/>
          </w:r>
          <w:r>
            <w:fldChar w:fldCharType="begin"/>
          </w:r>
          <w:r>
            <w:instrText xml:space="preserve"> PAGEREF _Toc112924661 \h </w:instrText>
          </w:r>
          <w:r>
            <w:fldChar w:fldCharType="separate"/>
          </w:r>
          <w:r>
            <w:t>13</w:t>
          </w:r>
          <w:r>
            <w:fldChar w:fldCharType="end"/>
          </w:r>
          <w:r>
            <w:fldChar w:fldCharType="end"/>
          </w:r>
        </w:p>
        <w:p>
          <w:r>
            <w:fldChar w:fldCharType="end"/>
          </w:r>
        </w:p>
      </w:sdtContent>
    </w:sdt>
    <w:p>
      <w:r>
        <w:br w:type="page"/>
      </w:r>
    </w:p>
    <w:p>
      <w:pPr>
        <w:pStyle w:val="2"/>
        <w:rPr>
          <w:rFonts w:hint="default"/>
        </w:rPr>
      </w:pPr>
      <w:bookmarkStart w:id="1" w:name="_Toc112924633"/>
      <w:r>
        <w:t>第1章 工程概况</w:t>
      </w:r>
      <w:bookmarkEnd w:id="1"/>
    </w:p>
    <w:p>
      <w:pPr>
        <w:pStyle w:val="3"/>
        <w:rPr>
          <w:rFonts w:hint="default"/>
        </w:rPr>
      </w:pPr>
      <w:bookmarkStart w:id="2" w:name="_Toc112924634"/>
      <w:r>
        <w:t>1.1 车站结构与站址环境</w:t>
      </w:r>
      <w:bookmarkEnd w:id="2"/>
    </w:p>
    <w:p>
      <w:pPr>
        <w:pStyle w:val="25"/>
        <w:ind w:firstLine="420"/>
        <w:rPr>
          <w:rFonts w:hint="default"/>
        </w:rPr>
      </w:pPr>
      <w:r>
        <w:t>（根据实际资料填写，由用户填写；）</w:t>
      </w:r>
    </w:p>
    <w:p>
      <w:pPr>
        <w:pStyle w:val="3"/>
        <w:rPr>
          <w:rFonts w:hint="default"/>
        </w:rPr>
      </w:pPr>
      <w:bookmarkStart w:id="3" w:name="_Toc112924635"/>
      <w:r>
        <w:t>1.2 工程地质</w:t>
      </w:r>
      <w:bookmarkEnd w:id="3"/>
    </w:p>
    <w:p>
      <w:pPr>
        <w:pStyle w:val="25"/>
        <w:ind w:firstLine="420"/>
        <w:rPr>
          <w:rFonts w:hint="default"/>
        </w:rPr>
      </w:pPr>
      <w:r>
        <w:t>（根据实际资料填写，由用户填写；）</w:t>
      </w:r>
    </w:p>
    <w:p>
      <w:pPr>
        <w:pStyle w:val="3"/>
        <w:rPr>
          <w:rFonts w:hint="default"/>
        </w:rPr>
      </w:pPr>
      <w:bookmarkStart w:id="4" w:name="_Toc112924636"/>
      <w:r>
        <w:t>1.3 水文地质</w:t>
      </w:r>
      <w:bookmarkEnd w:id="4"/>
    </w:p>
    <w:p>
      <w:pPr>
        <w:pStyle w:val="25"/>
        <w:ind w:firstLine="420"/>
        <w:rPr>
          <w:rFonts w:hint="default"/>
        </w:rPr>
      </w:pPr>
      <w:r>
        <w:t>（根据实际资料填写，由用户填写；）</w:t>
      </w:r>
    </w:p>
    <w:p>
      <w:pPr>
        <w:pStyle w:val="3"/>
        <w:rPr>
          <w:rFonts w:hint="default"/>
        </w:rPr>
      </w:pPr>
      <w:bookmarkStart w:id="5" w:name="_Toc112924637"/>
      <w:r>
        <w:t>1.4 建筑场地类别及地震动参数</w:t>
      </w:r>
      <w:bookmarkEnd w:id="5"/>
    </w:p>
    <w:p>
      <w:pPr>
        <w:pStyle w:val="25"/>
        <w:ind w:firstLine="420"/>
        <w:rPr>
          <w:rFonts w:hint="default"/>
        </w:rPr>
      </w:pPr>
      <w:r>
        <w:t>（根据实际资料填写，由用户填写；）</w:t>
      </w:r>
    </w:p>
    <w:p>
      <w:r>
        <w:br w:type="page"/>
      </w:r>
    </w:p>
    <w:p>
      <w:pPr>
        <w:pStyle w:val="2"/>
        <w:rPr>
          <w:rFonts w:hint="default"/>
        </w:rPr>
      </w:pPr>
      <w:bookmarkStart w:id="6" w:name="_Toc112924638"/>
      <w:r>
        <w:t>第2章 设计要求</w:t>
      </w:r>
      <w:bookmarkEnd w:id="6"/>
    </w:p>
    <w:p>
      <w:pPr>
        <w:pStyle w:val="3"/>
        <w:rPr>
          <w:rFonts w:hint="default"/>
        </w:rPr>
      </w:pPr>
      <w:bookmarkStart w:id="7" w:name="_Toc112924639"/>
      <w:r>
        <w:t>2.1 设计依据</w:t>
      </w:r>
      <w:bookmarkEnd w:id="7"/>
    </w:p>
    <w:p>
      <w:pPr>
        <w:pStyle w:val="25"/>
        <w:ind w:firstLine="420"/>
        <w:rPr>
          <w:rFonts w:hint="default"/>
        </w:rPr>
      </w:pPr>
      <w:r>
        <w:t>（1）《地铁设计规范》(GB50157-2013)</w:t>
      </w:r>
    </w:p>
    <w:p>
      <w:pPr>
        <w:pStyle w:val="25"/>
        <w:ind w:firstLine="420"/>
        <w:rPr>
          <w:rFonts w:hint="default"/>
        </w:rPr>
      </w:pPr>
      <w:r>
        <w:t>（2）《城市轨道交通技术规范》(GB50490-2009)</w:t>
      </w:r>
    </w:p>
    <w:p>
      <w:pPr>
        <w:pStyle w:val="25"/>
        <w:ind w:firstLine="420"/>
        <w:rPr>
          <w:rFonts w:hint="default"/>
        </w:rPr>
      </w:pPr>
      <w:r>
        <w:t>（3）《建筑结构荷载规范》(GB50009-2012)</w:t>
      </w:r>
    </w:p>
    <w:p>
      <w:pPr>
        <w:pStyle w:val="25"/>
        <w:ind w:firstLine="420"/>
        <w:rPr>
          <w:rFonts w:hint="default"/>
        </w:rPr>
      </w:pPr>
      <w:r>
        <w:t>（4）《混凝土结构设计规范》(GB50010-2010)(2015年版)</w:t>
      </w:r>
    </w:p>
    <w:p>
      <w:pPr>
        <w:pStyle w:val="25"/>
        <w:ind w:firstLine="420"/>
        <w:rPr>
          <w:rFonts w:hint="default"/>
        </w:rPr>
      </w:pPr>
      <w:r>
        <w:t>（5）《建筑抗震设计规范》(GB50011-2010)(2016年版)</w:t>
      </w:r>
    </w:p>
    <w:p>
      <w:pPr>
        <w:pStyle w:val="25"/>
        <w:ind w:firstLine="420"/>
        <w:rPr>
          <w:rFonts w:hint="default"/>
        </w:rPr>
      </w:pPr>
      <w:r>
        <w:t>（6）《城市轨道交通结构抗震设计规范》(GB50909-2014)</w:t>
      </w:r>
    </w:p>
    <w:p>
      <w:pPr>
        <w:pStyle w:val="25"/>
        <w:ind w:firstLine="420"/>
        <w:rPr>
          <w:rFonts w:hint="default"/>
        </w:rPr>
      </w:pPr>
      <w:r>
        <w:t>（7）《地下结构抗震设计标准》(GB/T51336-2018)</w:t>
      </w:r>
    </w:p>
    <w:p>
      <w:pPr>
        <w:pStyle w:val="25"/>
        <w:ind w:firstLine="420"/>
        <w:rPr>
          <w:rFonts w:hint="default"/>
        </w:rPr>
      </w:pPr>
      <w:r>
        <w:t>（8）《建筑与市政工程抗震通用规范》(GB55002-2021)</w:t>
      </w:r>
    </w:p>
    <w:p>
      <w:pPr>
        <w:pStyle w:val="25"/>
        <w:ind w:firstLine="420"/>
        <w:rPr>
          <w:rFonts w:hint="default"/>
        </w:rPr>
      </w:pPr>
      <w:r>
        <w:t>（9）《人民防空工程设计规范》(GB50225-2005)</w:t>
      </w:r>
    </w:p>
    <w:p>
      <w:pPr>
        <w:pStyle w:val="25"/>
        <w:ind w:firstLine="420"/>
        <w:rPr>
          <w:rFonts w:hint="default"/>
        </w:rPr>
      </w:pPr>
      <w:r>
        <w:t>（10）《建筑设计防火规范》(GB50016-2014)(2018年版)</w:t>
      </w:r>
    </w:p>
    <w:p>
      <w:pPr>
        <w:pStyle w:val="25"/>
        <w:ind w:firstLine="420"/>
        <w:rPr>
          <w:rFonts w:hint="default"/>
        </w:rPr>
      </w:pPr>
      <w:r>
        <w:t>（11）《钢筋机械连接技术规程》(JGJ107-2016)</w:t>
      </w:r>
    </w:p>
    <w:p>
      <w:pPr>
        <w:pStyle w:val="25"/>
        <w:ind w:firstLine="420"/>
        <w:rPr>
          <w:rFonts w:hint="default"/>
        </w:rPr>
      </w:pPr>
      <w:r>
        <w:t>（12）《混凝土结构耐久性设计标准》(GB/T50476-2019)</w:t>
      </w:r>
    </w:p>
    <w:p>
      <w:pPr>
        <w:pStyle w:val="25"/>
        <w:ind w:firstLine="420"/>
        <w:rPr>
          <w:rFonts w:hint="default"/>
        </w:rPr>
      </w:pPr>
      <w:r>
        <w:t>（13）《地下工程防水技术规范》(GB50108-2008)</w:t>
      </w:r>
    </w:p>
    <w:p>
      <w:pPr>
        <w:pStyle w:val="25"/>
        <w:ind w:firstLine="420"/>
        <w:rPr>
          <w:rFonts w:hint="default"/>
        </w:rPr>
      </w:pPr>
      <w:r>
        <w:t>（14）《轨道交通工程人民防空设计规范》(RFJ02-2009)</w:t>
      </w:r>
    </w:p>
    <w:p>
      <w:pPr>
        <w:pStyle w:val="3"/>
        <w:rPr>
          <w:rFonts w:hint="default"/>
        </w:rPr>
      </w:pPr>
      <w:bookmarkStart w:id="8" w:name="_Toc112924640"/>
      <w:r>
        <w:t>2.2 工程资料</w:t>
      </w:r>
      <w:bookmarkEnd w:id="8"/>
    </w:p>
    <w:p>
      <w:pPr>
        <w:pStyle w:val="25"/>
        <w:ind w:firstLine="420"/>
        <w:rPr>
          <w:rFonts w:hint="default"/>
        </w:rPr>
      </w:pPr>
      <w:r>
        <w:t>（根据实际资料填写，由用户填写；）</w:t>
      </w:r>
    </w:p>
    <w:p>
      <w:pPr>
        <w:pStyle w:val="3"/>
        <w:rPr>
          <w:rFonts w:hint="default"/>
        </w:rPr>
      </w:pPr>
      <w:bookmarkStart w:id="9" w:name="_Toc112924641"/>
      <w:r>
        <w:t>2.3 抗震设防目标和性能要求</w:t>
      </w:r>
      <w:bookmarkEnd w:id="9"/>
    </w:p>
    <w:p>
      <w:pPr>
        <w:pStyle w:val="4"/>
        <w:rPr>
          <w:rFonts w:hint="default"/>
        </w:rPr>
      </w:pPr>
      <w:bookmarkStart w:id="10" w:name="_Toc112924642"/>
      <w:r>
        <w:t>2.3.1 设防目标</w:t>
      </w:r>
      <w:bookmarkEnd w:id="10"/>
    </w:p>
    <w:p>
      <w:pPr>
        <w:pStyle w:val="25"/>
        <w:ind w:firstLine="420"/>
        <w:rPr>
          <w:rFonts w:hint="default"/>
        </w:rPr>
      </w:pPr>
      <w:r>
        <w:t>依据住房和城乡建设部下发的《市政公用设施抗震设防专项论证技术要点（地下工程篇）》及《城市轨道交通结构抗震设计规范》（GB 50909-2014），抗震设防目标如下：</w:t>
      </w:r>
    </w:p>
    <w:p>
      <w:pPr>
        <w:pStyle w:val="25"/>
        <w:ind w:firstLine="420"/>
        <w:rPr>
          <w:rFonts w:hint="default"/>
        </w:rPr>
      </w:pPr>
      <w:r>
        <w:t>（1）当遭受低于本工程抗震设防烈度的多遇地震影响时，地下结构不损坏，对周围环境和轨道交通运营无影响；</w:t>
      </w:r>
    </w:p>
    <w:p>
      <w:pPr>
        <w:pStyle w:val="25"/>
        <w:ind w:firstLine="420"/>
        <w:rPr>
          <w:rFonts w:hint="default"/>
        </w:rPr>
      </w:pPr>
      <w:r>
        <w:t>（2）当遭受相当于本工程抗震设防烈度的地震影响时，地下结构不损坏或仅需对非重要结构部位进行一般修理，对周围环境影响轻微，不影响正常运营；</w:t>
      </w:r>
    </w:p>
    <w:p>
      <w:pPr>
        <w:pStyle w:val="25"/>
        <w:ind w:firstLine="420"/>
        <w:rPr>
          <w:rFonts w:hint="default"/>
        </w:rPr>
      </w:pPr>
      <w:r>
        <w:t>（3）当遭受高于本工程抗震设防烈度的罕遇地震（高于设防烈度1度）影响时，地下结构主要结构体系不发生严重破坏且便于修复，无重大人员伤亡，对周围环境不产生严重影响，修缮后可正常运营。</w:t>
      </w:r>
    </w:p>
    <w:p>
      <w:pPr>
        <w:pStyle w:val="4"/>
        <w:rPr>
          <w:rFonts w:hint="default"/>
        </w:rPr>
      </w:pPr>
      <w:bookmarkStart w:id="11" w:name="_Toc112924643"/>
      <w:r>
        <w:t>2.3.2 性能要求</w:t>
      </w:r>
      <w:bookmarkEnd w:id="11"/>
    </w:p>
    <w:p>
      <w:pPr>
        <w:pStyle w:val="25"/>
        <w:ind w:firstLine="420"/>
        <w:rPr>
          <w:rFonts w:hint="default"/>
        </w:rPr>
      </w:pPr>
      <w:r>
        <w:t>参考《城市轨道交通结构抗震设计规范》（GB 50909-2014）第3.2节要求，进行抗震设计的城市轨道交通结构，应达到如下性能要求：</w:t>
      </w:r>
    </w:p>
    <w:p>
      <w:pPr>
        <w:pStyle w:val="25"/>
        <w:ind w:firstLine="420"/>
        <w:rPr>
          <w:rFonts w:hint="default"/>
        </w:rPr>
      </w:pPr>
      <w:r>
        <w:t>（1）性能要求I：地震后不破坏或轻微破坏，应能够保持其正常使用功能；结构处于弹性工作阶段；不应因结构的变形导致轨道的过大变形而影响行车安全。</w:t>
      </w:r>
    </w:p>
    <w:p>
      <w:pPr>
        <w:pStyle w:val="25"/>
        <w:ind w:firstLine="420"/>
        <w:rPr>
          <w:rFonts w:hint="default"/>
        </w:rPr>
      </w:pPr>
      <w:r>
        <w:t>（2）性能要求II：地震后可能破坏，经修补，短期内应能恢复其正常使用功能；结构局部进入弹塑性工作阶段。</w:t>
      </w:r>
    </w:p>
    <w:p>
      <w:pPr>
        <w:pStyle w:val="25"/>
        <w:ind w:firstLine="420"/>
        <w:rPr>
          <w:rFonts w:hint="default"/>
        </w:rPr>
      </w:pPr>
      <w:r>
        <w:t>（3）性能要求III：地震后可能产生较大破坏，但不应出现局部或整体倒毁，结构处于弹塑性工作阶段。</w:t>
      </w:r>
    </w:p>
    <w:p>
      <w:pPr>
        <w:pStyle w:val="25"/>
        <w:ind w:firstLine="420"/>
        <w:rPr>
          <w:rFonts w:hint="default"/>
        </w:rPr>
      </w:pPr>
      <w:r>
        <w:t>本车站抗震设防类别为___类，为地下车站，在E1地震作用与E2地震作用作用下该车站要达到抗震性能I，在E3地震作用作用下要达到抗震性能II。</w:t>
      </w:r>
    </w:p>
    <w:p>
      <w:pPr>
        <w:pStyle w:val="25"/>
        <w:ind w:firstLine="420"/>
        <w:rPr>
          <w:rFonts w:hint="default"/>
        </w:rPr>
      </w:pPr>
      <w:r>
        <w:t>参考《城市轨道交通结构抗震设计规范》（GB 50909-2014）的第7.7节指出：抗震性能要求为I 时，应按《建筑抗震设计规范》GB50011-2010（2016年版）进行结构构件的截面抗震验算。抗震性能要求为II 时，应验算结构整体变形性能，并应符合下列规定：</w:t>
      </w:r>
    </w:p>
    <w:p>
      <w:pPr>
        <w:pStyle w:val="25"/>
        <w:ind w:firstLine="420"/>
        <w:rPr>
          <w:rFonts w:hint="default"/>
        </w:rPr>
      </w:pPr>
      <w:r>
        <w:t>（1）矩形断面结构应采用层间位移角作为指标，对于钢筋混凝土结构层间位移角限值宜取1/250。</w:t>
      </w:r>
    </w:p>
    <w:p>
      <w:pPr>
        <w:pStyle w:val="25"/>
        <w:ind w:firstLine="420"/>
        <w:rPr>
          <w:rFonts w:hint="default"/>
        </w:rPr>
      </w:pPr>
      <w:r>
        <w:t>（2）圆形断面结构应采用直径变形率作为指标，对于盾构隧道直径变形率的界限值应为6‰。</w:t>
      </w:r>
    </w:p>
    <w:p>
      <w:pPr>
        <w:pStyle w:val="25"/>
        <w:ind w:firstLine="420"/>
        <w:rPr>
          <w:rFonts w:hint="default"/>
        </w:rPr>
      </w:pPr>
      <w:r>
        <w:t>参考《城市轨道交通工程设计规范》（DB11/995-2013）的条文说明中第11.7节指出：抗震性能要求为I 时，车站弹性层间位移角限制可取1/600；抗震性能要求为II 时，混凝土结构弹塑性层间位移角不宜大于1/300。</w:t>
      </w:r>
    </w:p>
    <w:p>
      <w:pPr>
        <w:pStyle w:val="3"/>
        <w:rPr>
          <w:rFonts w:hint="default"/>
        </w:rPr>
      </w:pPr>
      <w:bookmarkStart w:id="12" w:name="_Toc112924644"/>
      <w:r>
        <w:t>2.4 设计原则</w:t>
      </w:r>
      <w:bookmarkEnd w:id="12"/>
    </w:p>
    <w:p>
      <w:pPr>
        <w:pStyle w:val="25"/>
        <w:ind w:firstLine="420"/>
        <w:rPr>
          <w:rFonts w:hint="default"/>
        </w:rPr>
      </w:pPr>
      <w:r>
        <w:t>（1）构件根据承载能力极限状态及正常使用极限状态，进行承载力、稳定、变形以及裂缝验算；</w:t>
      </w:r>
    </w:p>
    <w:p>
      <w:pPr>
        <w:pStyle w:val="25"/>
        <w:ind w:firstLine="420"/>
        <w:rPr>
          <w:rFonts w:hint="default"/>
        </w:rPr>
      </w:pPr>
      <w:r>
        <w:t>（2）结构设计基于承载能力极限状态及正常使用极限状态分别进行的荷载效应组合，取各自最不利组合进行设计；</w:t>
      </w:r>
    </w:p>
    <w:p>
      <w:pPr>
        <w:pStyle w:val="25"/>
        <w:ind w:firstLine="420"/>
        <w:rPr>
          <w:rFonts w:hint="default"/>
        </w:rPr>
      </w:pPr>
      <w:r>
        <w:t>（3）地下铁道的结构设计应遵照 “结构为功能服务” 、“以人为本”的原则，满足城市规划、行车运营、环境保护、抗震、防护、防水、防火、防腐蚀及施工等对结构的要求，注重节约用地、节约能源，同时做到安全、可靠、技术先进、经济合理；</w:t>
      </w:r>
    </w:p>
    <w:p>
      <w:pPr>
        <w:pStyle w:val="25"/>
        <w:ind w:firstLine="420"/>
        <w:rPr>
          <w:rFonts w:hint="default"/>
        </w:rPr>
      </w:pPr>
      <w:r>
        <w:t>（4）设计以地质勘察资料为依据，按照现行国家标准《城市轨道交通岩土工程勘察规范》（GB50307-2012），根据不同设计阶段的任务和目的、不同施工方法对地质勘探的特殊要求等，确定工程地质勘察的内容、范围和精度，并通过施工对地层的观察和监测反馈进行验证；</w:t>
      </w:r>
    </w:p>
    <w:p>
      <w:pPr>
        <w:pStyle w:val="25"/>
        <w:ind w:firstLine="420"/>
        <w:rPr>
          <w:rFonts w:hint="default"/>
        </w:rPr>
      </w:pPr>
      <w:r>
        <w:t>（5）应根据抗震设防要求、场地条件、结构类型和埋深等因素，依据《城市轨道交通结构抗震设计规范》（GB 50909-2014）选用能较好反映其地震工作性状的计算分析方法，并采取必要的构造措施，提高结构和接头处的整体抗震能力。当围岩中包含有可液化土层或基底处于可产生震陷的软黏土地层中时，必须采取可靠对策，提高地层的抗液化能力，保证地震作用下结构物的安全；</w:t>
      </w:r>
    </w:p>
    <w:p>
      <w:pPr>
        <w:pStyle w:val="3"/>
        <w:rPr>
          <w:rFonts w:hint="default"/>
        </w:rPr>
      </w:pPr>
      <w:bookmarkStart w:id="13" w:name="_Toc112924645"/>
      <w:r>
        <w:t>2.5 工程报告</w:t>
      </w:r>
      <w:bookmarkEnd w:id="13"/>
    </w:p>
    <w:p>
      <w:pPr>
        <w:pStyle w:val="25"/>
        <w:ind w:firstLine="420"/>
        <w:rPr>
          <w:rFonts w:hint="default"/>
        </w:rPr>
      </w:pPr>
      <w:r>
        <w:t>（根据实际资料填写，由用户填写；）</w:t>
      </w:r>
    </w:p>
    <w:p>
      <w:r>
        <w:br w:type="page"/>
      </w:r>
    </w:p>
    <w:p>
      <w:pPr>
        <w:pStyle w:val="2"/>
        <w:rPr>
          <w:rFonts w:hint="default"/>
        </w:rPr>
      </w:pPr>
      <w:bookmarkStart w:id="14" w:name="_Toc112924646"/>
      <w:r>
        <w:t>第3章 设计方法</w:t>
      </w:r>
      <w:bookmarkEnd w:id="14"/>
    </w:p>
    <w:p>
      <w:pPr>
        <w:pStyle w:val="3"/>
        <w:rPr>
          <w:rFonts w:hint="default"/>
        </w:rPr>
      </w:pPr>
      <w:bookmarkStart w:id="15" w:name="_Toc112924647"/>
      <w:r>
        <w:t>3.1 反应位移法</w:t>
      </w:r>
      <w:bookmarkEnd w:id="15"/>
    </w:p>
    <w:p>
      <w:pPr>
        <w:pStyle w:val="25"/>
        <w:ind w:firstLine="420"/>
        <w:rPr>
          <w:rFonts w:hint="default"/>
        </w:rPr>
      </w:pPr>
      <w:r>
        <w:t>采用反应位移法进行隧道与地下车站结构横向地震反应计算时，可将周围土体作为支撑结构的地基弹簧，结构采用梁单元进行建模，如下图所示。模型中应考虑土层相对位移、结构惯性力和结构周围剪力作用。</w:t>
      </w:r>
    </w:p>
    <w:p>
      <w:pPr>
        <w:jc w:val="center"/>
      </w:pPr>
      <w:r>
        <w:drawing>
          <wp:inline distT="0" distB="0" distL="0" distR="0">
            <wp:extent cx="52768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6850" cy="2610380"/>
                    </a:xfrm>
                    <a:prstGeom prst="rect">
                      <a:avLst/>
                    </a:prstGeom>
                  </pic:spPr>
                </pic:pic>
              </a:graphicData>
            </a:graphic>
          </wp:inline>
        </w:drawing>
      </w:r>
    </w:p>
    <w:p>
      <w:pPr>
        <w:pStyle w:val="28"/>
        <w:rPr>
          <w:rFonts w:hint="default"/>
        </w:rPr>
      </w:pPr>
      <w:r>
        <w:t>图3-1-1  横向地震反应计算的反应位移法</w:t>
      </w:r>
    </w:p>
    <w:p>
      <w:pPr>
        <w:pStyle w:val="25"/>
        <w:ind w:firstLine="420"/>
        <w:rPr>
          <w:rFonts w:hint="default"/>
        </w:rPr>
      </w:pPr>
      <w:r>
        <w:t>（1）土层位移计算</w:t>
      </w:r>
    </w:p>
    <w:p>
      <w:pPr>
        <w:pStyle w:val="25"/>
        <w:ind w:firstLine="420"/>
        <w:rPr>
          <w:rFonts w:hint="default"/>
        </w:rPr>
      </w:pPr>
      <w:r>
        <w:t>隧道与地下车站结构抗震设计中，地震时土层沿深度方向的水平位移分布如图3.1-1所示，具体数值可由下式求出：</w:t>
      </w:r>
    </w:p>
    <w:p>
      <w:pPr>
        <w:jc w:val="center"/>
      </w:pP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z</m:t>
            </m:r>
            <m:ctrlPr>
              <w:rPr>
                <w:rFonts w:ascii="Cambria Math" w:hAnsi="Cambria Math"/>
              </w:rPr>
            </m:ctrlPr>
          </m:sub>
        </m:sSub>
      </m:oMath>
      <w:r>
        <w:fldChar w:fldCharType="begin"/>
      </w:r>
      <w:r>
        <w:instrText xml:space="preserve">eq =\f(1,2)</w:instrText>
      </w:r>
      <m:oMath>
        <m:sSub>
          <m:sSubPr>
            <m:ctrlPr>
              <w:rPr>
                <w:rFonts w:ascii="Cambria Math" w:hAnsi="Cambria Math"/>
              </w:rPr>
            </m:ctrlPr>
          </m:sSubPr>
          <m:e>
            <m:r>
              <m:rPr>
                <m:sty m:val="p"/>
              </m:rPr>
              <m:t xml:space="preserve">u</m:t>
            </m:r>
            <m:ctrlPr>
              <w:rPr>
                <w:rFonts w:ascii="Cambria Math" w:hAnsi="Cambria Math"/>
              </w:rPr>
            </m:ctrlPr>
          </m:e>
          <m:sub>
            <m:r>
              <m:rPr>
                <m:sty m:val="p"/>
              </m:rPr>
              <m:t xml:space="preserve">max</m:t>
            </m:r>
            <m:ctrlPr>
              <w:rPr>
                <w:rFonts w:ascii="Cambria Math" w:hAnsi="Cambria Math"/>
              </w:rPr>
            </m:ctrlPr>
          </m:sub>
        </m:sSub>
      </m:oMath>
      <w:r>
        <w:instrText xml:space="preserve">cos(\f(πz,2H))</w:instrText>
      </w:r>
      <w:r>
        <w:fldChar w:fldCharType="end"/>
      </w:r>
    </w:p>
    <w:p>
      <w:pPr>
        <w:pStyle w:val="25"/>
        <w:ind w:firstLine="420"/>
        <w:rPr>
          <w:rFonts w:hint="default"/>
        </w:rPr>
      </w:pPr>
      <w:r>
        <w:t>式中：</w:t>
      </w:r>
    </w:p>
    <w:p>
      <w:pPr>
        <w:ind w:firstLine="420"/>
      </w:pP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z</m:t>
            </m:r>
            <m:ctrlPr>
              <w:rPr>
                <w:rFonts w:ascii="Cambria Math" w:hAnsi="Cambria Math"/>
              </w:rPr>
            </m:ctrlPr>
          </m:sub>
        </m:sSub>
      </m:oMath>
      <w:r>
        <w:fldChar w:fldCharType="begin"/>
      </w:r>
      <w:r>
        <w:instrText xml:space="preserve">eq</w:instrText>
      </w:r>
      <w:r>
        <w:fldChar w:fldCharType="end"/>
      </w:r>
      <w:r>
        <w:t>--地震时深度 z 处土层的水平位移 (m) ；</w:t>
      </w:r>
    </w:p>
    <w:p>
      <w:pPr>
        <w:ind w:firstLine="420"/>
      </w:pPr>
      <w:r>
        <w:fldChar w:fldCharType="begin"/>
      </w:r>
      <w:r>
        <w:instrText xml:space="preserve">eq z</w:instrText>
      </w:r>
      <w:r>
        <w:fldChar w:fldCharType="end"/>
      </w:r>
      <w:r>
        <w:t>--深度(m)；</w:t>
      </w:r>
    </w:p>
    <w:p>
      <w:pPr>
        <w:ind w:firstLine="420"/>
      </w:pP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max</m:t>
            </m:r>
            <m:ctrlPr>
              <w:rPr>
                <w:rFonts w:ascii="Cambria Math" w:hAnsi="Cambria Math"/>
              </w:rPr>
            </m:ctrlPr>
          </m:sub>
        </m:sSub>
      </m:oMath>
      <w:r>
        <w:fldChar w:fldCharType="begin"/>
      </w:r>
      <w:r>
        <w:instrText xml:space="preserve">eq</w:instrText>
      </w:r>
      <w:r>
        <w:fldChar w:fldCharType="end"/>
      </w:r>
      <w:r>
        <w:t>--场地地表最大位移，取值参照下表；</w:t>
      </w:r>
    </w:p>
    <w:p>
      <w:pPr>
        <w:ind w:firstLine="420"/>
      </w:pPr>
      <w:r>
        <w:fldChar w:fldCharType="begin"/>
      </w:r>
      <w:r>
        <w:instrText xml:space="preserve">eq H</w:instrText>
      </w:r>
      <w:r>
        <w:fldChar w:fldCharType="end"/>
      </w:r>
      <w:r>
        <w:t>--地面至地震作用基准面的距离(m)。</w:t>
      </w:r>
    </w:p>
    <w:p>
      <w:pPr>
        <w:pStyle w:val="26"/>
        <w:rPr>
          <w:rFonts w:hint="default"/>
        </w:rPr>
      </w:pPr>
      <w:r>
        <w:t>表3-1-1 基本设计地震动峰值位移表Umax(m)</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1415"/>
        <w:gridCol w:w="1415"/>
        <w:gridCol w:w="1415"/>
        <w:gridCol w:w="1415"/>
        <w:gridCol w:w="1415"/>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地震动峰值加速度分组</w:t>
            </w:r>
          </w:p>
        </w:tc>
        <w:tc>
          <w:tcPr>
            <w:tcW w:w="1428" w:type="dxa"/>
            <w:shd w:val="clear" w:color="auto" w:fill="FFFFFF"/>
            <w:vAlign w:val="center"/>
          </w:tcPr>
          <w:p>
            <w:pPr>
              <w:pStyle w:val="27"/>
              <w:jc w:val="center"/>
              <w:rPr>
                <w:rFonts w:hint="default"/>
              </w:rPr>
            </w:pPr>
            <w:r>
              <w:t>0.05g</w:t>
            </w:r>
          </w:p>
        </w:tc>
        <w:tc>
          <w:tcPr>
            <w:tcW w:w="1428" w:type="dxa"/>
            <w:shd w:val="clear" w:color="auto" w:fill="FFFFFF"/>
            <w:vAlign w:val="center"/>
          </w:tcPr>
          <w:p>
            <w:pPr>
              <w:pStyle w:val="27"/>
              <w:jc w:val="center"/>
              <w:rPr>
                <w:rFonts w:hint="default"/>
              </w:rPr>
            </w:pPr>
            <w:r>
              <w:t>0.10g</w:t>
            </w:r>
          </w:p>
        </w:tc>
        <w:tc>
          <w:tcPr>
            <w:tcW w:w="1428" w:type="dxa"/>
            <w:shd w:val="clear" w:color="auto" w:fill="FFFFFF"/>
            <w:vAlign w:val="center"/>
          </w:tcPr>
          <w:p>
            <w:pPr>
              <w:pStyle w:val="27"/>
              <w:jc w:val="center"/>
              <w:rPr>
                <w:rFonts w:hint="default"/>
              </w:rPr>
            </w:pPr>
            <w:r>
              <w:t>0.15g</w:t>
            </w:r>
          </w:p>
        </w:tc>
        <w:tc>
          <w:tcPr>
            <w:tcW w:w="1428" w:type="dxa"/>
            <w:shd w:val="clear" w:color="auto" w:fill="FFFFFF"/>
            <w:vAlign w:val="center"/>
          </w:tcPr>
          <w:p>
            <w:pPr>
              <w:pStyle w:val="27"/>
              <w:jc w:val="center"/>
              <w:rPr>
                <w:rFonts w:hint="default"/>
              </w:rPr>
            </w:pPr>
            <w:r>
              <w:t>0.20g</w:t>
            </w:r>
          </w:p>
        </w:tc>
        <w:tc>
          <w:tcPr>
            <w:tcW w:w="1428" w:type="dxa"/>
            <w:shd w:val="clear" w:color="auto" w:fill="FFFFFF"/>
            <w:vAlign w:val="center"/>
          </w:tcPr>
          <w:p>
            <w:pPr>
              <w:pStyle w:val="27"/>
              <w:jc w:val="center"/>
              <w:rPr>
                <w:rFonts w:hint="default"/>
              </w:rPr>
            </w:pPr>
            <w:r>
              <w:t>0.30g</w:t>
            </w:r>
          </w:p>
        </w:tc>
        <w:tc>
          <w:tcPr>
            <w:tcW w:w="1428" w:type="dxa"/>
            <w:shd w:val="clear" w:color="auto" w:fill="FFFFFF"/>
            <w:vAlign w:val="center"/>
          </w:tcPr>
          <w:p>
            <w:pPr>
              <w:pStyle w:val="27"/>
              <w:jc w:val="center"/>
              <w:rPr>
                <w:rFonts w:hint="default"/>
              </w:rPr>
            </w:pPr>
            <w:r>
              <w:t>0.40g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E1地震作用</w:t>
            </w:r>
          </w:p>
        </w:tc>
        <w:tc>
          <w:tcPr>
            <w:tcW w:w="1428" w:type="dxa"/>
            <w:shd w:val="clear" w:color="auto" w:fill="FFFFFF"/>
            <w:vAlign w:val="center"/>
          </w:tcPr>
          <w:p>
            <w:pPr>
              <w:pStyle w:val="27"/>
              <w:jc w:val="center"/>
              <w:rPr>
                <w:rFonts w:hint="default"/>
              </w:rPr>
            </w:pPr>
            <w:r>
              <w:t>0.02</w:t>
            </w:r>
          </w:p>
        </w:tc>
        <w:tc>
          <w:tcPr>
            <w:tcW w:w="1428" w:type="dxa"/>
            <w:shd w:val="clear" w:color="auto" w:fill="FFFFFF"/>
            <w:vAlign w:val="center"/>
          </w:tcPr>
          <w:p>
            <w:pPr>
              <w:pStyle w:val="27"/>
              <w:jc w:val="center"/>
              <w:rPr>
                <w:rFonts w:hint="default"/>
              </w:rPr>
            </w:pPr>
            <w:r>
              <w:t>0.04</w:t>
            </w:r>
          </w:p>
        </w:tc>
        <w:tc>
          <w:tcPr>
            <w:tcW w:w="1428" w:type="dxa"/>
            <w:shd w:val="clear" w:color="auto" w:fill="FFFFFF"/>
            <w:vAlign w:val="center"/>
          </w:tcPr>
          <w:p>
            <w:pPr>
              <w:pStyle w:val="27"/>
              <w:jc w:val="center"/>
              <w:rPr>
                <w:rFonts w:hint="default"/>
              </w:rPr>
            </w:pPr>
            <w:r>
              <w:t>0.05</w:t>
            </w:r>
          </w:p>
        </w:tc>
        <w:tc>
          <w:tcPr>
            <w:tcW w:w="1428" w:type="dxa"/>
            <w:shd w:val="clear" w:color="auto" w:fill="FFFFFF"/>
            <w:vAlign w:val="center"/>
          </w:tcPr>
          <w:p>
            <w:pPr>
              <w:pStyle w:val="27"/>
              <w:jc w:val="center"/>
              <w:rPr>
                <w:rFonts w:hint="default"/>
              </w:rPr>
            </w:pPr>
            <w:r>
              <w:t>0.07</w:t>
            </w:r>
          </w:p>
        </w:tc>
        <w:tc>
          <w:tcPr>
            <w:tcW w:w="1428" w:type="dxa"/>
            <w:shd w:val="clear" w:color="auto" w:fill="FFFFFF"/>
            <w:vAlign w:val="center"/>
          </w:tcPr>
          <w:p>
            <w:pPr>
              <w:pStyle w:val="27"/>
              <w:jc w:val="center"/>
              <w:rPr>
                <w:rFonts w:hint="default"/>
              </w:rPr>
            </w:pPr>
            <w:r>
              <w:t>0.10</w:t>
            </w:r>
          </w:p>
        </w:tc>
        <w:tc>
          <w:tcPr>
            <w:tcW w:w="1428" w:type="dxa"/>
            <w:shd w:val="clear" w:color="auto" w:fill="FFFFFF"/>
            <w:vAlign w:val="center"/>
          </w:tcPr>
          <w:p>
            <w:pPr>
              <w:pStyle w:val="27"/>
              <w:jc w:val="center"/>
              <w:rPr>
                <w:rFonts w:hint="default"/>
              </w:rPr>
            </w:pPr>
            <w: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E2地震作用</w:t>
            </w:r>
          </w:p>
        </w:tc>
        <w:tc>
          <w:tcPr>
            <w:tcW w:w="1428" w:type="dxa"/>
            <w:shd w:val="clear" w:color="auto" w:fill="FFFFFF"/>
            <w:vAlign w:val="center"/>
          </w:tcPr>
          <w:p>
            <w:pPr>
              <w:pStyle w:val="27"/>
              <w:jc w:val="center"/>
              <w:rPr>
                <w:rFonts w:hint="default"/>
              </w:rPr>
            </w:pPr>
            <w:r>
              <w:t>0.03</w:t>
            </w:r>
          </w:p>
        </w:tc>
        <w:tc>
          <w:tcPr>
            <w:tcW w:w="1428" w:type="dxa"/>
            <w:shd w:val="clear" w:color="auto" w:fill="FFFFFF"/>
            <w:vAlign w:val="center"/>
          </w:tcPr>
          <w:p>
            <w:pPr>
              <w:pStyle w:val="27"/>
              <w:jc w:val="center"/>
              <w:rPr>
                <w:rFonts w:hint="default"/>
              </w:rPr>
            </w:pPr>
            <w:r>
              <w:t>0.07</w:t>
            </w:r>
          </w:p>
        </w:tc>
        <w:tc>
          <w:tcPr>
            <w:tcW w:w="1428" w:type="dxa"/>
            <w:shd w:val="clear" w:color="auto" w:fill="FFFFFF"/>
            <w:vAlign w:val="center"/>
          </w:tcPr>
          <w:p>
            <w:pPr>
              <w:pStyle w:val="27"/>
              <w:jc w:val="center"/>
              <w:rPr>
                <w:rFonts w:hint="default"/>
              </w:rPr>
            </w:pPr>
            <w:r>
              <w:t>0.10</w:t>
            </w:r>
          </w:p>
        </w:tc>
        <w:tc>
          <w:tcPr>
            <w:tcW w:w="1428" w:type="dxa"/>
            <w:shd w:val="clear" w:color="auto" w:fill="FFFFFF"/>
            <w:vAlign w:val="center"/>
          </w:tcPr>
          <w:p>
            <w:pPr>
              <w:pStyle w:val="27"/>
              <w:jc w:val="center"/>
              <w:rPr>
                <w:rFonts w:hint="default"/>
              </w:rPr>
            </w:pPr>
            <w:r>
              <w:t>0.13</w:t>
            </w:r>
          </w:p>
        </w:tc>
        <w:tc>
          <w:tcPr>
            <w:tcW w:w="1428" w:type="dxa"/>
            <w:shd w:val="clear" w:color="auto" w:fill="FFFFFF"/>
            <w:vAlign w:val="center"/>
          </w:tcPr>
          <w:p>
            <w:pPr>
              <w:pStyle w:val="27"/>
              <w:jc w:val="center"/>
              <w:rPr>
                <w:rFonts w:hint="default"/>
              </w:rPr>
            </w:pPr>
            <w:r>
              <w:t>0.20</w:t>
            </w:r>
          </w:p>
        </w:tc>
        <w:tc>
          <w:tcPr>
            <w:tcW w:w="1428" w:type="dxa"/>
            <w:shd w:val="clear" w:color="auto" w:fill="FFFFFF"/>
            <w:vAlign w:val="center"/>
          </w:tcPr>
          <w:p>
            <w:pPr>
              <w:pStyle w:val="27"/>
              <w:jc w:val="center"/>
              <w:rPr>
                <w:rFonts w:hint="default"/>
              </w:rPr>
            </w:pPr>
            <w: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E3地震作用</w:t>
            </w:r>
          </w:p>
        </w:tc>
        <w:tc>
          <w:tcPr>
            <w:tcW w:w="1428" w:type="dxa"/>
            <w:shd w:val="clear" w:color="auto" w:fill="FFFFFF"/>
            <w:vAlign w:val="center"/>
          </w:tcPr>
          <w:p>
            <w:pPr>
              <w:pStyle w:val="27"/>
              <w:jc w:val="center"/>
              <w:rPr>
                <w:rFonts w:hint="default"/>
              </w:rPr>
            </w:pPr>
            <w:r>
              <w:t>0.08</w:t>
            </w:r>
          </w:p>
        </w:tc>
        <w:tc>
          <w:tcPr>
            <w:tcW w:w="1428" w:type="dxa"/>
            <w:shd w:val="clear" w:color="auto" w:fill="FFFFFF"/>
            <w:vAlign w:val="center"/>
          </w:tcPr>
          <w:p>
            <w:pPr>
              <w:pStyle w:val="27"/>
              <w:jc w:val="center"/>
              <w:rPr>
                <w:rFonts w:hint="default"/>
              </w:rPr>
            </w:pPr>
            <w:r>
              <w:t>0.15</w:t>
            </w:r>
          </w:p>
        </w:tc>
        <w:tc>
          <w:tcPr>
            <w:tcW w:w="1428" w:type="dxa"/>
            <w:shd w:val="clear" w:color="auto" w:fill="FFFFFF"/>
            <w:vAlign w:val="center"/>
          </w:tcPr>
          <w:p>
            <w:pPr>
              <w:pStyle w:val="27"/>
              <w:jc w:val="center"/>
              <w:rPr>
                <w:rFonts w:hint="default"/>
              </w:rPr>
            </w:pPr>
            <w:r>
              <w:t>0.21</w:t>
            </w:r>
          </w:p>
        </w:tc>
        <w:tc>
          <w:tcPr>
            <w:tcW w:w="1428" w:type="dxa"/>
            <w:shd w:val="clear" w:color="auto" w:fill="FFFFFF"/>
            <w:vAlign w:val="center"/>
          </w:tcPr>
          <w:p>
            <w:pPr>
              <w:pStyle w:val="27"/>
              <w:jc w:val="center"/>
              <w:rPr>
                <w:rFonts w:hint="default"/>
              </w:rPr>
            </w:pPr>
            <w:r>
              <w:t>0.27</w:t>
            </w:r>
          </w:p>
        </w:tc>
        <w:tc>
          <w:tcPr>
            <w:tcW w:w="1428" w:type="dxa"/>
            <w:shd w:val="clear" w:color="auto" w:fill="FFFFFF"/>
            <w:vAlign w:val="center"/>
          </w:tcPr>
          <w:p>
            <w:pPr>
              <w:pStyle w:val="27"/>
              <w:jc w:val="center"/>
              <w:rPr>
                <w:rFonts w:hint="default"/>
              </w:rPr>
            </w:pPr>
            <w:r>
              <w:t>0.35</w:t>
            </w:r>
          </w:p>
        </w:tc>
        <w:tc>
          <w:tcPr>
            <w:tcW w:w="1428" w:type="dxa"/>
            <w:shd w:val="clear" w:color="auto" w:fill="FFFFFF"/>
            <w:vAlign w:val="center"/>
          </w:tcPr>
          <w:p>
            <w:pPr>
              <w:pStyle w:val="27"/>
              <w:jc w:val="center"/>
              <w:rPr>
                <w:rFonts w:hint="default"/>
              </w:rPr>
            </w:pPr>
            <w:r>
              <w:t>0.41</w:t>
            </w:r>
          </w:p>
        </w:tc>
      </w:tr>
    </w:tbl>
    <w:p>
      <w:pPr>
        <w:pStyle w:val="26"/>
        <w:rPr>
          <w:rFonts w:hint="default"/>
        </w:rPr>
      </w:pPr>
      <w:r>
        <w:t>表3-1-2 地震地震动峰值位移调整系数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414"/>
        <w:gridCol w:w="1414"/>
        <w:gridCol w:w="1415"/>
        <w:gridCol w:w="1415"/>
        <w:gridCol w:w="1415"/>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vMerge w:val="restart"/>
            <w:shd w:val="clear" w:color="auto" w:fill="FFFFFF"/>
            <w:vAlign w:val="center"/>
          </w:tcPr>
          <w:p>
            <w:pPr>
              <w:pStyle w:val="27"/>
              <w:jc w:val="center"/>
              <w:rPr>
                <w:rFonts w:hint="default"/>
              </w:rPr>
            </w:pPr>
            <w:r>
              <w:t>场地类别</w:t>
            </w:r>
          </w:p>
        </w:tc>
        <w:tc>
          <w:tcPr>
            <w:tcW w:w="8568" w:type="dxa"/>
            <w:gridSpan w:val="6"/>
            <w:shd w:val="clear" w:color="auto" w:fill="FFFFFF"/>
            <w:vAlign w:val="center"/>
          </w:tcPr>
          <w:p>
            <w:pPr>
              <w:pStyle w:val="27"/>
              <w:jc w:val="center"/>
              <w:rPr>
                <w:rFonts w:hint="default"/>
              </w:rPr>
            </w:pPr>
            <w:r>
              <w:t>II类场地设计地震动峰值位移umax（m）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vMerge w:val="continue"/>
            <w:shd w:val="clear" w:color="auto" w:fill="FFFFFF"/>
            <w:vAlign w:val="center"/>
          </w:tcPr>
          <w:p>
            <w:pPr>
              <w:pStyle w:val="27"/>
              <w:jc w:val="center"/>
              <w:rPr>
                <w:rFonts w:hint="default"/>
              </w:rPr>
            </w:pPr>
            <w:r>
              <w:t>场地类别</w:t>
            </w:r>
          </w:p>
        </w:tc>
        <w:tc>
          <w:tcPr>
            <w:tcW w:w="1428" w:type="dxa"/>
            <w:shd w:val="clear" w:color="auto" w:fill="FFFFFF"/>
            <w:vAlign w:val="center"/>
          </w:tcPr>
          <w:p>
            <w:pPr>
              <w:pStyle w:val="27"/>
              <w:jc w:val="center"/>
              <w:rPr>
                <w:rFonts w:hint="default"/>
              </w:rPr>
            </w:pPr>
            <w:r>
              <w:t>≤0.03</w:t>
            </w:r>
          </w:p>
        </w:tc>
        <w:tc>
          <w:tcPr>
            <w:tcW w:w="1428" w:type="dxa"/>
            <w:shd w:val="clear" w:color="auto" w:fill="FFFFFF"/>
            <w:vAlign w:val="center"/>
          </w:tcPr>
          <w:p>
            <w:pPr>
              <w:pStyle w:val="27"/>
              <w:jc w:val="center"/>
              <w:rPr>
                <w:rFonts w:hint="default"/>
              </w:rPr>
            </w:pPr>
            <w:r>
              <w:t>0.07</w:t>
            </w:r>
          </w:p>
        </w:tc>
        <w:tc>
          <w:tcPr>
            <w:tcW w:w="1428" w:type="dxa"/>
            <w:shd w:val="clear" w:color="auto" w:fill="FFFFFF"/>
            <w:vAlign w:val="center"/>
          </w:tcPr>
          <w:p>
            <w:pPr>
              <w:pStyle w:val="27"/>
              <w:jc w:val="center"/>
              <w:rPr>
                <w:rFonts w:hint="default"/>
              </w:rPr>
            </w:pPr>
            <w:r>
              <w:t>0.10</w:t>
            </w:r>
          </w:p>
        </w:tc>
        <w:tc>
          <w:tcPr>
            <w:tcW w:w="1428" w:type="dxa"/>
            <w:shd w:val="clear" w:color="auto" w:fill="FFFFFF"/>
            <w:vAlign w:val="center"/>
          </w:tcPr>
          <w:p>
            <w:pPr>
              <w:pStyle w:val="27"/>
              <w:jc w:val="center"/>
              <w:rPr>
                <w:rFonts w:hint="default"/>
              </w:rPr>
            </w:pPr>
            <w:r>
              <w:t>0.13</w:t>
            </w:r>
          </w:p>
        </w:tc>
        <w:tc>
          <w:tcPr>
            <w:tcW w:w="1428" w:type="dxa"/>
            <w:shd w:val="clear" w:color="auto" w:fill="FFFFFF"/>
            <w:vAlign w:val="center"/>
          </w:tcPr>
          <w:p>
            <w:pPr>
              <w:pStyle w:val="27"/>
              <w:jc w:val="center"/>
              <w:rPr>
                <w:rFonts w:hint="default"/>
              </w:rPr>
            </w:pPr>
            <w:r>
              <w:t>0.20</w:t>
            </w:r>
          </w:p>
        </w:tc>
        <w:tc>
          <w:tcPr>
            <w:tcW w:w="1428" w:type="dxa"/>
            <w:shd w:val="clear" w:color="auto" w:fill="FFFFFF"/>
            <w:vAlign w:val="center"/>
          </w:tcPr>
          <w:p>
            <w:pPr>
              <w:pStyle w:val="27"/>
              <w:jc w:val="center"/>
              <w:rPr>
                <w:rFonts w:hint="default"/>
              </w:rPr>
            </w:pPr>
            <w: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Ⅰ0</w:t>
            </w:r>
          </w:p>
        </w:tc>
        <w:tc>
          <w:tcPr>
            <w:tcW w:w="1428" w:type="dxa"/>
            <w:shd w:val="clear" w:color="auto" w:fill="FFFFFF"/>
            <w:vAlign w:val="center"/>
          </w:tcPr>
          <w:p>
            <w:pPr>
              <w:pStyle w:val="27"/>
              <w:jc w:val="center"/>
              <w:rPr>
                <w:rFonts w:hint="default"/>
              </w:rPr>
            </w:pPr>
            <w:r>
              <w:t>0.75</w:t>
            </w:r>
          </w:p>
        </w:tc>
        <w:tc>
          <w:tcPr>
            <w:tcW w:w="1428" w:type="dxa"/>
            <w:shd w:val="clear" w:color="auto" w:fill="FFFFFF"/>
            <w:vAlign w:val="center"/>
          </w:tcPr>
          <w:p>
            <w:pPr>
              <w:pStyle w:val="27"/>
              <w:jc w:val="center"/>
              <w:rPr>
                <w:rFonts w:hint="default"/>
              </w:rPr>
            </w:pPr>
            <w:r>
              <w:t>0.75</w:t>
            </w:r>
          </w:p>
        </w:tc>
        <w:tc>
          <w:tcPr>
            <w:tcW w:w="1428" w:type="dxa"/>
            <w:shd w:val="clear" w:color="auto" w:fill="FFFFFF"/>
            <w:vAlign w:val="center"/>
          </w:tcPr>
          <w:p>
            <w:pPr>
              <w:pStyle w:val="27"/>
              <w:jc w:val="center"/>
              <w:rPr>
                <w:rFonts w:hint="default"/>
              </w:rPr>
            </w:pPr>
            <w:r>
              <w:t>0.80</w:t>
            </w:r>
          </w:p>
        </w:tc>
        <w:tc>
          <w:tcPr>
            <w:tcW w:w="1428" w:type="dxa"/>
            <w:shd w:val="clear" w:color="auto" w:fill="FFFFFF"/>
            <w:vAlign w:val="center"/>
          </w:tcPr>
          <w:p>
            <w:pPr>
              <w:pStyle w:val="27"/>
              <w:jc w:val="center"/>
              <w:rPr>
                <w:rFonts w:hint="default"/>
              </w:rPr>
            </w:pPr>
            <w:r>
              <w:t>0.85</w:t>
            </w:r>
          </w:p>
        </w:tc>
        <w:tc>
          <w:tcPr>
            <w:tcW w:w="1428" w:type="dxa"/>
            <w:shd w:val="clear" w:color="auto" w:fill="FFFFFF"/>
            <w:vAlign w:val="center"/>
          </w:tcPr>
          <w:p>
            <w:pPr>
              <w:pStyle w:val="27"/>
              <w:jc w:val="center"/>
              <w:rPr>
                <w:rFonts w:hint="default"/>
              </w:rPr>
            </w:pPr>
            <w:r>
              <w:t>0.90</w:t>
            </w:r>
          </w:p>
        </w:tc>
        <w:tc>
          <w:tcPr>
            <w:tcW w:w="1428" w:type="dxa"/>
            <w:shd w:val="clear" w:color="auto" w:fill="FFFFFF"/>
            <w:vAlign w:val="center"/>
          </w:tcPr>
          <w:p>
            <w:pPr>
              <w:pStyle w:val="27"/>
              <w:jc w:val="center"/>
              <w:rPr>
                <w:rFonts w:hint="default"/>
              </w:rP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Ⅰ1</w:t>
            </w:r>
          </w:p>
        </w:tc>
        <w:tc>
          <w:tcPr>
            <w:tcW w:w="1428" w:type="dxa"/>
            <w:shd w:val="clear" w:color="auto" w:fill="FFFFFF"/>
            <w:vAlign w:val="center"/>
          </w:tcPr>
          <w:p>
            <w:pPr>
              <w:pStyle w:val="27"/>
              <w:jc w:val="center"/>
              <w:rPr>
                <w:rFonts w:hint="default"/>
              </w:rPr>
            </w:pPr>
            <w:r>
              <w:t>0.75</w:t>
            </w:r>
          </w:p>
        </w:tc>
        <w:tc>
          <w:tcPr>
            <w:tcW w:w="1428" w:type="dxa"/>
            <w:shd w:val="clear" w:color="auto" w:fill="FFFFFF"/>
            <w:vAlign w:val="center"/>
          </w:tcPr>
          <w:p>
            <w:pPr>
              <w:pStyle w:val="27"/>
              <w:jc w:val="center"/>
              <w:rPr>
                <w:rFonts w:hint="default"/>
              </w:rPr>
            </w:pPr>
            <w:r>
              <w:t>0.75</w:t>
            </w:r>
          </w:p>
        </w:tc>
        <w:tc>
          <w:tcPr>
            <w:tcW w:w="1428" w:type="dxa"/>
            <w:shd w:val="clear" w:color="auto" w:fill="FFFFFF"/>
            <w:vAlign w:val="center"/>
          </w:tcPr>
          <w:p>
            <w:pPr>
              <w:pStyle w:val="27"/>
              <w:jc w:val="center"/>
              <w:rPr>
                <w:rFonts w:hint="default"/>
              </w:rPr>
            </w:pPr>
            <w:r>
              <w:t>0.80</w:t>
            </w:r>
          </w:p>
        </w:tc>
        <w:tc>
          <w:tcPr>
            <w:tcW w:w="1428" w:type="dxa"/>
            <w:shd w:val="clear" w:color="auto" w:fill="FFFFFF"/>
            <w:vAlign w:val="center"/>
          </w:tcPr>
          <w:p>
            <w:pPr>
              <w:pStyle w:val="27"/>
              <w:jc w:val="center"/>
              <w:rPr>
                <w:rFonts w:hint="default"/>
              </w:rPr>
            </w:pPr>
            <w:r>
              <w:t>0.85</w:t>
            </w:r>
          </w:p>
        </w:tc>
        <w:tc>
          <w:tcPr>
            <w:tcW w:w="1428" w:type="dxa"/>
            <w:shd w:val="clear" w:color="auto" w:fill="FFFFFF"/>
            <w:vAlign w:val="center"/>
          </w:tcPr>
          <w:p>
            <w:pPr>
              <w:pStyle w:val="27"/>
              <w:jc w:val="center"/>
              <w:rPr>
                <w:rFonts w:hint="default"/>
              </w:rPr>
            </w:pPr>
            <w:r>
              <w:t>0.90</w:t>
            </w:r>
          </w:p>
        </w:tc>
        <w:tc>
          <w:tcPr>
            <w:tcW w:w="1428" w:type="dxa"/>
            <w:shd w:val="clear" w:color="auto" w:fill="FFFFFF"/>
            <w:vAlign w:val="center"/>
          </w:tcPr>
          <w:p>
            <w:pPr>
              <w:pStyle w:val="27"/>
              <w:jc w:val="center"/>
              <w:rPr>
                <w:rFonts w:hint="default"/>
              </w:rP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Ⅱ</w:t>
            </w:r>
          </w:p>
        </w:tc>
        <w:tc>
          <w:tcPr>
            <w:tcW w:w="1428" w:type="dxa"/>
            <w:shd w:val="clear" w:color="auto" w:fill="FFFFFF"/>
            <w:vAlign w:val="center"/>
          </w:tcPr>
          <w:p>
            <w:pPr>
              <w:pStyle w:val="27"/>
              <w:jc w:val="center"/>
              <w:rPr>
                <w:rFonts w:hint="default"/>
              </w:rPr>
            </w:pPr>
            <w:r>
              <w:t>1.00</w:t>
            </w:r>
          </w:p>
        </w:tc>
        <w:tc>
          <w:tcPr>
            <w:tcW w:w="1428" w:type="dxa"/>
            <w:shd w:val="clear" w:color="auto" w:fill="FFFFFF"/>
            <w:vAlign w:val="center"/>
          </w:tcPr>
          <w:p>
            <w:pPr>
              <w:pStyle w:val="27"/>
              <w:jc w:val="center"/>
              <w:rPr>
                <w:rFonts w:hint="default"/>
              </w:rPr>
            </w:pPr>
            <w:r>
              <w:t>1.00</w:t>
            </w:r>
          </w:p>
        </w:tc>
        <w:tc>
          <w:tcPr>
            <w:tcW w:w="1428" w:type="dxa"/>
            <w:shd w:val="clear" w:color="auto" w:fill="FFFFFF"/>
            <w:vAlign w:val="center"/>
          </w:tcPr>
          <w:p>
            <w:pPr>
              <w:pStyle w:val="27"/>
              <w:jc w:val="center"/>
              <w:rPr>
                <w:rFonts w:hint="default"/>
              </w:rPr>
            </w:pPr>
            <w:r>
              <w:t>1.00</w:t>
            </w:r>
          </w:p>
        </w:tc>
        <w:tc>
          <w:tcPr>
            <w:tcW w:w="1428" w:type="dxa"/>
            <w:shd w:val="clear" w:color="auto" w:fill="FFFFFF"/>
            <w:vAlign w:val="center"/>
          </w:tcPr>
          <w:p>
            <w:pPr>
              <w:pStyle w:val="27"/>
              <w:jc w:val="center"/>
              <w:rPr>
                <w:rFonts w:hint="default"/>
              </w:rPr>
            </w:pPr>
            <w:r>
              <w:t>1.00</w:t>
            </w:r>
          </w:p>
        </w:tc>
        <w:tc>
          <w:tcPr>
            <w:tcW w:w="1428" w:type="dxa"/>
            <w:shd w:val="clear" w:color="auto" w:fill="FFFFFF"/>
            <w:vAlign w:val="center"/>
          </w:tcPr>
          <w:p>
            <w:pPr>
              <w:pStyle w:val="27"/>
              <w:jc w:val="center"/>
              <w:rPr>
                <w:rFonts w:hint="default"/>
              </w:rPr>
            </w:pPr>
            <w:r>
              <w:t>1.00</w:t>
            </w:r>
          </w:p>
        </w:tc>
        <w:tc>
          <w:tcPr>
            <w:tcW w:w="1428" w:type="dxa"/>
            <w:shd w:val="clear" w:color="auto" w:fill="FFFFFF"/>
            <w:vAlign w:val="center"/>
          </w:tcPr>
          <w:p>
            <w:pPr>
              <w:pStyle w:val="27"/>
              <w:jc w:val="center"/>
              <w:rPr>
                <w:rFonts w:hint="default"/>
              </w:rP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Ⅲ</w:t>
            </w:r>
          </w:p>
        </w:tc>
        <w:tc>
          <w:tcPr>
            <w:tcW w:w="1428" w:type="dxa"/>
            <w:shd w:val="clear" w:color="auto" w:fill="FFFFFF"/>
            <w:vAlign w:val="center"/>
          </w:tcPr>
          <w:p>
            <w:pPr>
              <w:pStyle w:val="27"/>
              <w:jc w:val="center"/>
              <w:rPr>
                <w:rFonts w:hint="default"/>
              </w:rPr>
            </w:pPr>
            <w:r>
              <w:t>1.20</w:t>
            </w:r>
          </w:p>
        </w:tc>
        <w:tc>
          <w:tcPr>
            <w:tcW w:w="1428" w:type="dxa"/>
            <w:shd w:val="clear" w:color="auto" w:fill="FFFFFF"/>
            <w:vAlign w:val="center"/>
          </w:tcPr>
          <w:p>
            <w:pPr>
              <w:pStyle w:val="27"/>
              <w:jc w:val="center"/>
              <w:rPr>
                <w:rFonts w:hint="default"/>
              </w:rPr>
            </w:pPr>
            <w:r>
              <w:t>1.20</w:t>
            </w:r>
          </w:p>
        </w:tc>
        <w:tc>
          <w:tcPr>
            <w:tcW w:w="1428" w:type="dxa"/>
            <w:shd w:val="clear" w:color="auto" w:fill="FFFFFF"/>
            <w:vAlign w:val="center"/>
          </w:tcPr>
          <w:p>
            <w:pPr>
              <w:pStyle w:val="27"/>
              <w:jc w:val="center"/>
              <w:rPr>
                <w:rFonts w:hint="default"/>
              </w:rPr>
            </w:pPr>
            <w:r>
              <w:t>1.25</w:t>
            </w:r>
          </w:p>
        </w:tc>
        <w:tc>
          <w:tcPr>
            <w:tcW w:w="1428" w:type="dxa"/>
            <w:shd w:val="clear" w:color="auto" w:fill="FFFFFF"/>
            <w:vAlign w:val="center"/>
          </w:tcPr>
          <w:p>
            <w:pPr>
              <w:pStyle w:val="27"/>
              <w:jc w:val="center"/>
              <w:rPr>
                <w:rFonts w:hint="default"/>
              </w:rPr>
            </w:pPr>
            <w:r>
              <w:t>1.40</w:t>
            </w:r>
          </w:p>
        </w:tc>
        <w:tc>
          <w:tcPr>
            <w:tcW w:w="1428" w:type="dxa"/>
            <w:shd w:val="clear" w:color="auto" w:fill="FFFFFF"/>
            <w:vAlign w:val="center"/>
          </w:tcPr>
          <w:p>
            <w:pPr>
              <w:pStyle w:val="27"/>
              <w:jc w:val="center"/>
              <w:rPr>
                <w:rFonts w:hint="default"/>
              </w:rPr>
            </w:pPr>
            <w:r>
              <w:t>1.40</w:t>
            </w:r>
          </w:p>
        </w:tc>
        <w:tc>
          <w:tcPr>
            <w:tcW w:w="1428" w:type="dxa"/>
            <w:shd w:val="clear" w:color="auto" w:fill="FFFFFF"/>
            <w:vAlign w:val="center"/>
          </w:tcPr>
          <w:p>
            <w:pPr>
              <w:pStyle w:val="27"/>
              <w:jc w:val="center"/>
              <w:rPr>
                <w:rFonts w:hint="default"/>
              </w:rPr>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428" w:type="dxa"/>
            <w:shd w:val="clear" w:color="auto" w:fill="FFFFFF"/>
            <w:vAlign w:val="center"/>
          </w:tcPr>
          <w:p>
            <w:pPr>
              <w:pStyle w:val="27"/>
              <w:jc w:val="center"/>
              <w:rPr>
                <w:rFonts w:hint="default"/>
              </w:rPr>
            </w:pPr>
            <w:r>
              <w:t>Ⅳ</w:t>
            </w:r>
          </w:p>
        </w:tc>
        <w:tc>
          <w:tcPr>
            <w:tcW w:w="1428" w:type="dxa"/>
            <w:shd w:val="clear" w:color="auto" w:fill="FFFFFF"/>
            <w:vAlign w:val="center"/>
          </w:tcPr>
          <w:p>
            <w:pPr>
              <w:pStyle w:val="27"/>
              <w:jc w:val="center"/>
              <w:rPr>
                <w:rFonts w:hint="default"/>
              </w:rPr>
            </w:pPr>
            <w:r>
              <w:t>1.45</w:t>
            </w:r>
          </w:p>
        </w:tc>
        <w:tc>
          <w:tcPr>
            <w:tcW w:w="1428" w:type="dxa"/>
            <w:shd w:val="clear" w:color="auto" w:fill="FFFFFF"/>
            <w:vAlign w:val="center"/>
          </w:tcPr>
          <w:p>
            <w:pPr>
              <w:pStyle w:val="27"/>
              <w:jc w:val="center"/>
              <w:rPr>
                <w:rFonts w:hint="default"/>
              </w:rPr>
            </w:pPr>
            <w:r>
              <w:t>1.50</w:t>
            </w:r>
          </w:p>
        </w:tc>
        <w:tc>
          <w:tcPr>
            <w:tcW w:w="1428" w:type="dxa"/>
            <w:shd w:val="clear" w:color="auto" w:fill="FFFFFF"/>
            <w:vAlign w:val="center"/>
          </w:tcPr>
          <w:p>
            <w:pPr>
              <w:pStyle w:val="27"/>
              <w:jc w:val="center"/>
              <w:rPr>
                <w:rFonts w:hint="default"/>
              </w:rPr>
            </w:pPr>
            <w:r>
              <w:t>1.55</w:t>
            </w:r>
          </w:p>
        </w:tc>
        <w:tc>
          <w:tcPr>
            <w:tcW w:w="1428" w:type="dxa"/>
            <w:shd w:val="clear" w:color="auto" w:fill="FFFFFF"/>
            <w:vAlign w:val="center"/>
          </w:tcPr>
          <w:p>
            <w:pPr>
              <w:pStyle w:val="27"/>
              <w:jc w:val="center"/>
              <w:rPr>
                <w:rFonts w:hint="default"/>
              </w:rPr>
            </w:pPr>
            <w:r>
              <w:t>1.70</w:t>
            </w:r>
          </w:p>
        </w:tc>
        <w:tc>
          <w:tcPr>
            <w:tcW w:w="1428" w:type="dxa"/>
            <w:shd w:val="clear" w:color="auto" w:fill="FFFFFF"/>
            <w:vAlign w:val="center"/>
          </w:tcPr>
          <w:p>
            <w:pPr>
              <w:pStyle w:val="27"/>
              <w:jc w:val="center"/>
              <w:rPr>
                <w:rFonts w:hint="default"/>
              </w:rPr>
            </w:pPr>
            <w:r>
              <w:t>1.70</w:t>
            </w:r>
          </w:p>
        </w:tc>
        <w:tc>
          <w:tcPr>
            <w:tcW w:w="1428" w:type="dxa"/>
            <w:shd w:val="clear" w:color="auto" w:fill="FFFFFF"/>
            <w:vAlign w:val="center"/>
          </w:tcPr>
          <w:p>
            <w:pPr>
              <w:pStyle w:val="27"/>
              <w:jc w:val="center"/>
              <w:rPr>
                <w:rFonts w:hint="default"/>
              </w:rPr>
            </w:pPr>
            <w:r>
              <w:t>1.70</w:t>
            </w:r>
          </w:p>
        </w:tc>
      </w:tr>
    </w:tbl>
    <w:p>
      <w:pPr>
        <w:pStyle w:val="25"/>
        <w:ind w:firstLine="420"/>
        <w:rPr>
          <w:rFonts w:hint="default"/>
        </w:rPr>
      </w:pPr>
      <w:r>
        <w:t>关于H的取值，对于埋置于地层中的隧道和地下车站结构，地震作用的基准面应取在隧道和地下车站结构以下剪切波速大于等于500m/s的岩土层位置。对于覆盖土层厚度小于70m的场地，设计地震作用基准面到结构的距离不应小于结构有效高度的2倍；对于覆盖土层厚度大于70m的场地，可取在场地覆盖土层70m深度的土层位置。</w:t>
      </w:r>
    </w:p>
    <w:p>
      <w:pPr>
        <w:pStyle w:val="25"/>
        <w:ind w:firstLine="420"/>
        <w:rPr>
          <w:rFonts w:hint="default"/>
        </w:rPr>
      </w:pPr>
      <w:r>
        <w:t>（2）土体与结构相互作用弹簧刚度计算</w:t>
      </w:r>
    </w:p>
    <w:p>
      <w:pPr>
        <w:pStyle w:val="25"/>
        <w:ind w:firstLine="420"/>
        <w:rPr>
          <w:rFonts w:hint="default"/>
        </w:rPr>
      </w:pPr>
      <w:r>
        <w:t>计算模型中，结构周围土体采用地基弹簧表示，包括压缩弹簧和剪切弹簧。地基弹簧刚度按以下公式计算。</w:t>
      </w:r>
    </w:p>
    <w:p>
      <w:pPr>
        <w:jc w:val="center"/>
      </w:pPr>
      <w:r>
        <w:fldChar w:fldCharType="begin"/>
      </w:r>
      <w:r>
        <w:instrText xml:space="preserve">eq k=KLD</w:instrText>
      </w:r>
      <w:r>
        <w:fldChar w:fldCharType="end"/>
      </w:r>
    </w:p>
    <w:p>
      <w:pPr>
        <w:pStyle w:val="25"/>
        <w:ind w:firstLine="420"/>
        <w:rPr>
          <w:rFonts w:hint="default"/>
        </w:rPr>
      </w:pPr>
      <w:r>
        <w:t>式中：</w:t>
      </w:r>
    </w:p>
    <w:p>
      <w:pPr>
        <w:ind w:firstLine="420"/>
      </w:pPr>
      <w:r>
        <w:fldChar w:fldCharType="begin"/>
      </w:r>
      <w:r>
        <w:instrText xml:space="preserve">eq k</w:instrText>
      </w:r>
      <w:r>
        <w:fldChar w:fldCharType="end"/>
      </w:r>
      <w:r>
        <w:t>--压缩、剪切地基弹簧刚度（kN/m）；</w:t>
      </w:r>
    </w:p>
    <w:p>
      <w:pPr>
        <w:ind w:firstLine="420"/>
      </w:pPr>
      <w:r>
        <w:fldChar w:fldCharType="begin"/>
      </w:r>
      <w:r>
        <w:instrText xml:space="preserve">eq K</w:instrText>
      </w:r>
      <w:r>
        <w:fldChar w:fldCharType="end"/>
      </w:r>
      <w:r>
        <w:t>--地基反力系数（kN/m^3）；</w:t>
      </w:r>
    </w:p>
    <w:p>
      <w:pPr>
        <w:ind w:firstLine="420"/>
      </w:pPr>
      <w:r>
        <w:fldChar w:fldCharType="begin"/>
      </w:r>
      <w:r>
        <w:instrText xml:space="preserve">eq L</w:instrText>
      </w:r>
      <w:r>
        <w:fldChar w:fldCharType="end"/>
      </w:r>
      <w:r>
        <w:t>--地基集中弹簧间距（m）；</w:t>
      </w:r>
    </w:p>
    <w:p>
      <w:pPr>
        <w:ind w:firstLine="420"/>
      </w:pPr>
      <w:r>
        <w:fldChar w:fldCharType="begin"/>
      </w:r>
      <w:r>
        <w:instrText xml:space="preserve">eq d</w:instrText>
      </w:r>
      <w:r>
        <w:fldChar w:fldCharType="end"/>
      </w:r>
      <w:r>
        <w:t>--土层沿隧道与地下车站纵向的计算长度（m）。</w:t>
      </w:r>
    </w:p>
    <w:p>
      <w:pPr>
        <w:pStyle w:val="25"/>
        <w:ind w:firstLine="420"/>
        <w:rPr>
          <w:rFonts w:hint="default"/>
        </w:rPr>
      </w:pPr>
      <w:r>
        <w:t>（3）土层位移引起作用于结构的侧向力</w:t>
      </w:r>
    </w:p>
    <w:p>
      <w:pPr>
        <w:pStyle w:val="25"/>
        <w:ind w:firstLine="420"/>
        <w:rPr>
          <w:rFonts w:hint="default"/>
        </w:rPr>
      </w:pPr>
      <w:r>
        <w:t>在反应位移法中需将地下结构周围自由土层在地震作用下的最大位移（可取相对变形，相应于结构底面深度的位移为零）施加于结构两侧面压缩弹簧及上部剪切弹簧远离结构的端部。由于在有限元软件中要实现在弹簧远离结构的一端施加强制位移较为困难，因此，可将强制位移按下式转换为直接施加在结构侧壁和顶板上的等效荷载：</w:t>
      </w:r>
    </w:p>
    <w:p>
      <w:pPr>
        <w:jc w:val="center"/>
      </w:pP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z</m:t>
            </m:r>
            <m:ctrlPr>
              <w:rPr>
                <w:rFonts w:ascii="Cambria Math" w:hAnsi="Cambria Math"/>
              </w:rPr>
            </m:ctrlPr>
          </m:sub>
        </m:sSub>
      </m:oMath>
      <w:r>
        <w:fldChar w:fldCharType="begin"/>
      </w:r>
      <w:r>
        <w:instrText xml:space="preserve">eq =</w:instrText>
      </w:r>
      <m:oMath>
        <m:sSub>
          <m:sSubPr>
            <m:ctrlPr>
              <w:rPr>
                <w:rFonts w:ascii="Cambria Math" w:hAnsi="Cambria Math"/>
              </w:rPr>
            </m:ctrlPr>
          </m:sSubPr>
          <m:e>
            <m:r>
              <m:rPr>
                <m:sty m:val="p"/>
              </m:rPr>
              <m:t xml:space="preserve">k</m:t>
            </m:r>
            <m:ctrlPr>
              <w:rPr>
                <w:rFonts w:ascii="Cambria Math" w:hAnsi="Cambria Math"/>
              </w:rPr>
            </m:ctrlPr>
          </m:e>
          <m:sub>
            <m:r>
              <m:rPr>
                <m:sty m:val="p"/>
              </m:rPr>
              <m:t xml:space="preserve">h</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U</m:t>
            </m:r>
            <m:ctrlPr>
              <w:rPr>
                <w:rFonts w:ascii="Cambria Math" w:hAnsi="Cambria Math"/>
              </w:rPr>
            </m:ctrlPr>
          </m:e>
          <m:sub>
            <m:r>
              <m:rPr>
                <m:sty m:val="p"/>
              </m:rPr>
              <m:t xml:space="preserve">z</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U</m:t>
            </m:r>
            <m:ctrlPr>
              <w:rPr>
                <w:rFonts w:ascii="Cambria Math" w:hAnsi="Cambria Math"/>
              </w:rPr>
            </m:ctrlPr>
          </m:e>
          <m:sub>
            <m:sSub>
              <m:sSubPr>
                <m:ctrlPr>
                  <w:rPr>
                    <w:rFonts w:ascii="Cambria Math" w:hAnsi="Cambria Math"/>
                  </w:rPr>
                </m:ctrlPr>
              </m:sSubPr>
              <m:e>
                <m:r>
                  <m:rPr>
                    <m:sty m:val="p"/>
                  </m:rPr>
                  <m:t xml:space="preserve">z</m:t>
                </m:r>
                <m:ctrlPr>
                  <w:rPr>
                    <w:rFonts w:ascii="Cambria Math" w:hAnsi="Cambria Math"/>
                  </w:rPr>
                </m:ctrlPr>
              </m:e>
              <m:sub>
                <m:r>
                  <m:rPr>
                    <m:sty m:val="p"/>
                  </m:rPr>
                  <m:t xml:space="preserve">B</m:t>
                </m:r>
                <m:ctrlPr>
                  <w:rPr>
                    <w:rFonts w:ascii="Cambria Math" w:hAnsi="Cambria Math"/>
                  </w:rPr>
                </m:ctrlPr>
              </m:sub>
            </m:sSub>
            <m:ctrlPr>
              <w:rPr>
                <w:rFonts w:ascii="Cambria Math" w:hAnsi="Cambria Math"/>
              </w:rPr>
            </m:ctrlPr>
          </m:sub>
        </m:sSub>
      </m:oMath>
      <w:r>
        <w:instrText xml:space="preserve">)</w:instrText>
      </w:r>
      <w:r>
        <w:fldChar w:fldCharType="end"/>
      </w:r>
    </w:p>
    <w:p>
      <w:pPr>
        <w:pStyle w:val="25"/>
        <w:ind w:firstLine="420"/>
        <w:rPr>
          <w:rFonts w:hint="default"/>
        </w:rPr>
      </w:pPr>
      <w:r>
        <w:t>式中：</w:t>
      </w:r>
    </w:p>
    <w:p>
      <w:pPr>
        <w:ind w:firstLine="420"/>
      </w:pP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z</m:t>
            </m:r>
            <m:ctrlPr>
              <w:rPr>
                <w:rFonts w:ascii="Cambria Math" w:hAnsi="Cambria Math"/>
              </w:rPr>
            </m:ctrlPr>
          </m:sub>
        </m:sSub>
      </m:oMath>
      <w:r>
        <w:fldChar w:fldCharType="begin"/>
      </w:r>
      <w:r>
        <w:instrText xml:space="preserve">eq</w:instrText>
      </w:r>
      <w:r>
        <w:fldChar w:fldCharType="end"/>
      </w:r>
      <w:r>
        <w:t>--土层变形形成的侧向力（kN/m^2）；</w:t>
      </w:r>
    </w:p>
    <w:p>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ℎ</m:t>
            </m:r>
            <m:ctrlPr>
              <w:rPr>
                <w:rFonts w:ascii="Cambria Math" w:hAnsi="Cambria Math"/>
              </w:rPr>
            </m:ctrlPr>
          </m:sub>
        </m:sSub>
      </m:oMath>
      <w:r>
        <w:fldChar w:fldCharType="begin"/>
      </w:r>
      <w:r>
        <w:instrText xml:space="preserve">eq</w:instrText>
      </w:r>
      <w:r>
        <w:fldChar w:fldCharType="end"/>
      </w:r>
      <w:r>
        <w:t>--地震时单位面积的水平向土层弹簧系数（kN/m^3）；</w:t>
      </w:r>
    </w:p>
    <w:p>
      <w:pPr>
        <w:pStyle w:val="25"/>
        <w:ind w:firstLine="420"/>
        <w:rPr>
          <w:rFonts w:hint="default"/>
        </w:rPr>
      </w:pPr>
      <w:r>
        <w:t>（4）结构与周围土层间的剪切力</w:t>
      </w:r>
    </w:p>
    <w:p>
      <w:pPr>
        <w:pStyle w:val="25"/>
        <w:ind w:firstLine="420"/>
        <w:rPr>
          <w:rFonts w:hint="default"/>
        </w:rPr>
      </w:pPr>
      <w:r>
        <w:t>地下结构与土层接触处的剪切力根据下式计算：</w:t>
      </w:r>
    </w:p>
    <w:p>
      <w:pPr>
        <w:jc w:val="center"/>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U</m:t>
            </m:r>
            <m:ctrlPr>
              <w:rPr>
                <w:rFonts w:ascii="Cambria Math" w:hAnsi="Cambria Math"/>
              </w:rPr>
            </m:ctrlPr>
          </m:sub>
        </m:sSub>
      </m:oMath>
      <w:r>
        <w:fldChar w:fldCharType="begin"/>
      </w:r>
      <w:r>
        <w:instrText xml:space="preserve">eq =\f(π</w:instrText>
      </w:r>
      <m:oMath>
        <m:sSub>
          <m:sSubPr>
            <m:ctrlPr>
              <w:rPr>
                <w:rFonts w:ascii="Cambria Math" w:hAnsi="Cambria Math"/>
              </w:rPr>
            </m:ctrlPr>
          </m:sSubPr>
          <m:e>
            <m:r>
              <m:rPr>
                <m:sty m:val="p"/>
              </m:rPr>
              <m:t xml:space="preserve">G</m:t>
            </m:r>
            <m:ctrlPr>
              <w:rPr>
                <w:rFonts w:ascii="Cambria Math" w:hAnsi="Cambria Math"/>
              </w:rPr>
            </m:ctrlPr>
          </m:e>
          <m:sub>
            <m:r>
              <m:rPr>
                <m:sty m:val="p"/>
              </m:rPr>
              <m:t xml:space="preserve">d</m:t>
            </m:r>
            <m:ctrlPr>
              <w:rPr>
                <w:rFonts w:ascii="Cambria Math" w:hAnsi="Cambria Math"/>
              </w:rPr>
            </m:ctrlPr>
          </m:sub>
        </m:sSub>
      </m:oMath>
      <w:r>
        <w:instrText xml:space="preserve">,4H)</w:instrText>
      </w:r>
      <m:oMath>
        <m:sSub>
          <m:sSubPr>
            <m:ctrlPr>
              <w:rPr>
                <w:rFonts w:ascii="Cambria Math" w:hAnsi="Cambria Math"/>
              </w:rPr>
            </m:ctrlPr>
          </m:sSubPr>
          <m:e>
            <m:r>
              <m:rPr>
                <m:sty m:val="p"/>
              </m:rPr>
              <m:t xml:space="preserve">u</m:t>
            </m:r>
            <m:ctrlPr>
              <w:rPr>
                <w:rFonts w:ascii="Cambria Math" w:hAnsi="Cambria Math"/>
              </w:rPr>
            </m:ctrlPr>
          </m:e>
          <m:sub>
            <m:r>
              <m:rPr>
                <m:sty m:val="p"/>
              </m:rPr>
              <m:t xml:space="preserve">max</m:t>
            </m:r>
            <m:ctrlPr>
              <w:rPr>
                <w:rFonts w:ascii="Cambria Math" w:hAnsi="Cambria Math"/>
              </w:rPr>
            </m:ctrlPr>
          </m:sub>
        </m:sSub>
      </m:oMath>
      <w:r>
        <w:instrText xml:space="preserve">sin(\f(π</w:instrText>
      </w:r>
      <m:oMath>
        <m:sSub>
          <m:sSubPr>
            <m:ctrlPr>
              <w:rPr>
                <w:rFonts w:ascii="Cambria Math" w:hAnsi="Cambria Math"/>
              </w:rPr>
            </m:ctrlPr>
          </m:sSubPr>
          <m:e>
            <m:r>
              <m:rPr>
                <m:sty m:val="p"/>
              </m:rPr>
              <m:t xml:space="preserve">z</m:t>
            </m:r>
            <m:ctrlPr>
              <w:rPr>
                <w:rFonts w:ascii="Cambria Math" w:hAnsi="Cambria Math"/>
              </w:rPr>
            </m:ctrlPr>
          </m:e>
          <m:sub>
            <m:r>
              <m:rPr>
                <m:sty m:val="p"/>
              </m:rPr>
              <m:t xml:space="preserve">U</m:t>
            </m:r>
            <m:ctrlPr>
              <w:rPr>
                <w:rFonts w:ascii="Cambria Math" w:hAnsi="Cambria Math"/>
              </w:rPr>
            </m:ctrlPr>
          </m:sub>
        </m:sSub>
      </m:oMath>
      <w:r>
        <w:instrText xml:space="preserve">,2H))</w:instrText>
      </w:r>
      <w:r>
        <w:fldChar w:fldCharType="end"/>
      </w:r>
    </w:p>
    <w:p>
      <w:pPr>
        <w:jc w:val="center"/>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B</m:t>
            </m:r>
            <m:ctrlPr>
              <w:rPr>
                <w:rFonts w:ascii="Cambria Math" w:hAnsi="Cambria Math"/>
              </w:rPr>
            </m:ctrlPr>
          </m:sub>
        </m:sSub>
      </m:oMath>
      <w:r>
        <w:fldChar w:fldCharType="begin"/>
      </w:r>
      <w:r>
        <w:instrText xml:space="preserve">eq =\f(π</w:instrText>
      </w:r>
      <m:oMath>
        <m:sSub>
          <m:sSubPr>
            <m:ctrlPr>
              <w:rPr>
                <w:rFonts w:ascii="Cambria Math" w:hAnsi="Cambria Math"/>
              </w:rPr>
            </m:ctrlPr>
          </m:sSubPr>
          <m:e>
            <m:r>
              <m:rPr>
                <m:sty m:val="p"/>
              </m:rPr>
              <m:t xml:space="preserve">G</m:t>
            </m:r>
            <m:ctrlPr>
              <w:rPr>
                <w:rFonts w:ascii="Cambria Math" w:hAnsi="Cambria Math"/>
              </w:rPr>
            </m:ctrlPr>
          </m:e>
          <m:sub>
            <m:r>
              <m:rPr>
                <m:sty m:val="p"/>
              </m:rPr>
              <m:t xml:space="preserve">d</m:t>
            </m:r>
            <m:ctrlPr>
              <w:rPr>
                <w:rFonts w:ascii="Cambria Math" w:hAnsi="Cambria Math"/>
              </w:rPr>
            </m:ctrlPr>
          </m:sub>
        </m:sSub>
      </m:oMath>
      <w:r>
        <w:instrText xml:space="preserve">,4H)</w:instrText>
      </w:r>
      <m:oMath>
        <m:sSub>
          <m:sSubPr>
            <m:ctrlPr>
              <w:rPr>
                <w:rFonts w:ascii="Cambria Math" w:hAnsi="Cambria Math"/>
              </w:rPr>
            </m:ctrlPr>
          </m:sSubPr>
          <m:e>
            <m:r>
              <m:rPr>
                <m:sty m:val="p"/>
              </m:rPr>
              <m:t xml:space="preserve">u</m:t>
            </m:r>
            <m:ctrlPr>
              <w:rPr>
                <w:rFonts w:ascii="Cambria Math" w:hAnsi="Cambria Math"/>
              </w:rPr>
            </m:ctrlPr>
          </m:e>
          <m:sub>
            <m:r>
              <m:rPr>
                <m:sty m:val="p"/>
              </m:rPr>
              <m:t xml:space="preserve">max</m:t>
            </m:r>
            <m:ctrlPr>
              <w:rPr>
                <w:rFonts w:ascii="Cambria Math" w:hAnsi="Cambria Math"/>
              </w:rPr>
            </m:ctrlPr>
          </m:sub>
        </m:sSub>
      </m:oMath>
      <w:r>
        <w:instrText xml:space="preserve">sin(\f(π</w:instrText>
      </w:r>
      <m:oMath>
        <m:sSub>
          <m:sSubPr>
            <m:ctrlPr>
              <w:rPr>
                <w:rFonts w:ascii="Cambria Math" w:hAnsi="Cambria Math"/>
              </w:rPr>
            </m:ctrlPr>
          </m:sSubPr>
          <m:e>
            <m:r>
              <m:rPr>
                <m:sty m:val="p"/>
              </m:rPr>
              <m:t xml:space="preserve">z</m:t>
            </m:r>
            <m:ctrlPr>
              <w:rPr>
                <w:rFonts w:ascii="Cambria Math" w:hAnsi="Cambria Math"/>
              </w:rPr>
            </m:ctrlPr>
          </m:e>
          <m:sub>
            <m:r>
              <m:rPr>
                <m:sty m:val="p"/>
              </m:rPr>
              <m:t xml:space="preserve">B</m:t>
            </m:r>
            <m:ctrlPr>
              <w:rPr>
                <w:rFonts w:ascii="Cambria Math" w:hAnsi="Cambria Math"/>
              </w:rPr>
            </m:ctrlPr>
          </m:sub>
        </m:sSub>
      </m:oMath>
      <w:r>
        <w:instrText xml:space="preserve">,2H))</w:instrText>
      </w:r>
      <w:r>
        <w:fldChar w:fldCharType="end"/>
      </w:r>
    </w:p>
    <w:p>
      <w:pPr>
        <w:jc w:val="center"/>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S</m:t>
            </m:r>
            <m:ctrlPr>
              <w:rPr>
                <w:rFonts w:ascii="Cambria Math" w:hAnsi="Cambria Math"/>
              </w:rPr>
            </m:ctrlPr>
          </m:sub>
        </m:sSub>
      </m:oMath>
      <w:r>
        <w:fldChar w:fldCharType="begin"/>
      </w:r>
      <w:r>
        <w:instrText xml:space="preserve">eq =\f(</w:instrText>
      </w:r>
      <m:oMath>
        <m:sSub>
          <m:sSubPr>
            <m:ctrlPr>
              <w:rPr>
                <w:rFonts w:ascii="Cambria Math" w:hAnsi="Cambria Math"/>
              </w:rPr>
            </m:ctrlPr>
          </m:sSubPr>
          <m:e>
            <m:r>
              <m:rPr>
                <m:sty m:val="p"/>
              </m:rPr>
              <m:t xml:space="preserve">τ</m:t>
            </m:r>
            <m:ctrlPr>
              <w:rPr>
                <w:rFonts w:ascii="Cambria Math" w:hAnsi="Cambria Math"/>
              </w:rPr>
            </m:ctrlPr>
          </m:e>
          <m:sub>
            <m:r>
              <m:rPr>
                <m:sty m:val="p"/>
              </m:rPr>
              <m:t xml:space="preserve">U</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τ</m:t>
            </m:r>
            <m:ctrlPr>
              <w:rPr>
                <w:rFonts w:ascii="Cambria Math" w:hAnsi="Cambria Math"/>
              </w:rPr>
            </m:ctrlPr>
          </m:e>
          <m:sub>
            <m:r>
              <m:rPr>
                <m:sty m:val="p"/>
              </m:rPr>
              <m:t xml:space="preserve">B</m:t>
            </m:r>
            <m:ctrlPr>
              <w:rPr>
                <w:rFonts w:ascii="Cambria Math" w:hAnsi="Cambria Math"/>
              </w:rPr>
            </m:ctrlPr>
          </m:sub>
        </m:sSub>
      </m:oMath>
      <w:r>
        <w:instrText xml:space="preserve">,2)</w:instrText>
      </w:r>
      <w:r>
        <w:fldChar w:fldCharType="end"/>
      </w:r>
    </w:p>
    <w:p>
      <w:pPr>
        <w:pStyle w:val="25"/>
        <w:ind w:firstLine="420"/>
        <w:rPr>
          <w:rFonts w:hint="default"/>
        </w:rPr>
      </w:pPr>
      <w:r>
        <w:t>式中：</w:t>
      </w:r>
    </w:p>
    <w:p>
      <w:pPr>
        <w:ind w:firstLine="420"/>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U</m:t>
            </m:r>
            <m:ctrlPr>
              <w:rPr>
                <w:rFonts w:ascii="Cambria Math" w:hAnsi="Cambria Math"/>
              </w:rPr>
            </m:ctrlPr>
          </m:sub>
        </m:sSub>
      </m:oMath>
      <w:r>
        <w:fldChar w:fldCharType="begin"/>
      </w:r>
      <w:r>
        <w:instrText xml:space="preserve">eq</w:instrText>
      </w:r>
      <w:r>
        <w:fldChar w:fldCharType="end"/>
      </w:r>
      <w:r>
        <w:t>--顶板上表面剪力（kN/m^2）；</w:t>
      </w:r>
    </w:p>
    <w:p>
      <w:pPr>
        <w:ind w:firstLine="420"/>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B</m:t>
            </m:r>
            <m:ctrlPr>
              <w:rPr>
                <w:rFonts w:ascii="Cambria Math" w:hAnsi="Cambria Math"/>
              </w:rPr>
            </m:ctrlPr>
          </m:sub>
        </m:sSub>
      </m:oMath>
      <w:r>
        <w:fldChar w:fldCharType="begin"/>
      </w:r>
      <w:r>
        <w:instrText xml:space="preserve">eq</w:instrText>
      </w:r>
      <w:r>
        <w:fldChar w:fldCharType="end"/>
      </w:r>
      <w:r>
        <w:t>--底板下表面剪力（kN/m^2）；</w:t>
      </w:r>
    </w:p>
    <w:p>
      <w:pPr>
        <w:ind w:firstLine="420"/>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S</m:t>
            </m:r>
            <m:ctrlPr>
              <w:rPr>
                <w:rFonts w:ascii="Cambria Math" w:hAnsi="Cambria Math"/>
              </w:rPr>
            </m:ctrlPr>
          </m:sub>
        </m:sSub>
      </m:oMath>
      <w:r>
        <w:fldChar w:fldCharType="begin"/>
      </w:r>
      <w:r>
        <w:instrText xml:space="preserve">eq</w:instrText>
      </w:r>
      <w:r>
        <w:fldChar w:fldCharType="end"/>
      </w:r>
      <w:r>
        <w:t>--侧壁表面剪力（kN/m^2）；</w:t>
      </w:r>
    </w:p>
    <w:p>
      <w:pPr>
        <w:ind w:firstLine="420"/>
      </w:pPr>
      <m:oMath>
        <m:sSub>
          <m:sSubPr>
            <m:ctrlPr>
              <w:rPr>
                <w:rFonts w:ascii="Cambria Math" w:hAnsi="Cambria Math"/>
              </w:rPr>
            </m:ctrlPr>
          </m:sSubPr>
          <m:e>
            <m:r>
              <m:rPr/>
              <w:rPr>
                <w:rFonts w:ascii="Cambria Math" w:hAnsi="Cambria Math"/>
              </w:rPr>
              <m:t>G</m:t>
            </m:r>
            <m:ctrlPr>
              <w:rPr>
                <w:rFonts w:ascii="Cambria Math" w:hAnsi="Cambria Math"/>
              </w:rPr>
            </m:ctrlPr>
          </m:e>
          <m:sub>
            <m:r>
              <m:rPr/>
              <w:rPr>
                <w:rFonts w:ascii="Cambria Math" w:hAnsi="Cambria Math"/>
              </w:rPr>
              <m:t>d</m:t>
            </m:r>
            <m:ctrlPr>
              <w:rPr>
                <w:rFonts w:ascii="Cambria Math" w:hAnsi="Cambria Math"/>
              </w:rPr>
            </m:ctrlPr>
          </m:sub>
        </m:sSub>
      </m:oMath>
      <w:r>
        <w:fldChar w:fldCharType="begin"/>
      </w:r>
      <w:r>
        <w:instrText xml:space="preserve">eq</w:instrText>
      </w:r>
      <w:r>
        <w:fldChar w:fldCharType="end"/>
      </w:r>
      <w:r>
        <w:t>--土层的动剪切模量（kPa）；</w:t>
      </w:r>
    </w:p>
    <w:p>
      <w:pPr>
        <w:ind w:firstLine="420"/>
      </w:pP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max</m:t>
            </m:r>
            <m:ctrlPr>
              <w:rPr>
                <w:rFonts w:ascii="Cambria Math" w:hAnsi="Cambria Math"/>
              </w:rPr>
            </m:ctrlPr>
          </m:sub>
        </m:sSub>
      </m:oMath>
      <w:r>
        <w:fldChar w:fldCharType="begin"/>
      </w:r>
      <w:r>
        <w:instrText xml:space="preserve">eq</w:instrText>
      </w:r>
      <w:r>
        <w:fldChar w:fldCharType="end"/>
      </w:r>
      <w:r>
        <w:t>--场地地表最大位移（m），取值参照表；</w:t>
      </w:r>
    </w:p>
    <w:p>
      <w:pPr>
        <w:ind w:firstLine="420"/>
      </w:pPr>
      <w:r>
        <w:fldChar w:fldCharType="begin"/>
      </w:r>
      <w:r>
        <w:instrText xml:space="preserve">eq H</w:instrText>
      </w:r>
      <w:r>
        <w:fldChar w:fldCharType="end"/>
      </w:r>
      <w:r>
        <w:t>--地面至地震作用基准面的距离（m）；</w:t>
      </w:r>
    </w:p>
    <w:p>
      <w:pPr>
        <w:pStyle w:val="25"/>
        <w:ind w:firstLine="420"/>
        <w:rPr>
          <w:rFonts w:hint="default"/>
        </w:rPr>
      </w:pPr>
      <w:r>
        <w:t>（5）结构的惯性力</w:t>
      </w:r>
    </w:p>
    <w:p>
      <w:pPr>
        <w:pStyle w:val="25"/>
        <w:ind w:firstLine="420"/>
        <w:rPr>
          <w:rFonts w:hint="default"/>
        </w:rPr>
      </w:pPr>
      <w:r>
        <w:t>结构自身的惯性力可将结构物的质量乘以最大加速度来计算，作为集中力可以作用在结构形心上，也可以按照各部位的最大加速度计算结构的水平惯性力并施加在相应的结构部位上。计算公式如下：</w:t>
      </w:r>
    </w:p>
    <w:p>
      <w:pPr>
        <w:jc w:val="center"/>
      </w:pP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 =</w:instrText>
      </w:r>
      <m:oMath>
        <m:sSub>
          <m:sSubPr>
            <m:ctrlPr>
              <w:rPr>
                <w:rFonts w:ascii="Cambria Math" w:hAnsi="Cambria Math"/>
              </w:rPr>
            </m:ctrlPr>
          </m:sSubPr>
          <m:e>
            <m:r>
              <m:rPr>
                <m:sty m:val="p"/>
              </m:rPr>
              <m:t xml:space="preserve">m</m:t>
            </m:r>
            <m:ctrlPr>
              <w:rPr>
                <w:rFonts w:ascii="Cambria Math" w:hAnsi="Cambria Math"/>
              </w:rPr>
            </m:ctrlPr>
          </m:e>
          <m:sub>
            <m:r>
              <m:rPr>
                <m:sty m:val="p"/>
              </m:rPr>
              <m:t xml:space="preserve">i</m:t>
            </m:r>
            <m:ctrlPr>
              <w:rPr>
                <w:rFonts w:ascii="Cambria Math" w:hAnsi="Cambria Math"/>
              </w:rPr>
            </m:ctrlPr>
          </m:sub>
        </m:sSub>
        <m:sSub>
          <m:sSubPr>
            <m:ctrlPr>
              <w:rPr>
                <w:rFonts w:ascii="Cambria Math" w:hAnsi="Cambria Math"/>
              </w:rPr>
            </m:ctrlPr>
          </m:sSubPr>
          <m:e>
            <m:r>
              <m:rPr>
                <m:sty m:val="p"/>
              </m:rPr>
              <m:t xml:space="preserve">u</m:t>
            </m:r>
            <m:ctrlPr>
              <w:rPr>
                <w:rFonts w:ascii="Cambria Math" w:hAnsi="Cambria Math"/>
              </w:rPr>
            </m:ctrlPr>
          </m:e>
          <m:sub>
            <m:r>
              <m:rPr>
                <m:sty m:val="p"/>
              </m:rPr>
              <m:t xml:space="preserve">i</m:t>
            </m:r>
            <m:ctrlPr>
              <w:rPr>
                <w:rFonts w:ascii="Cambria Math" w:hAnsi="Cambria Math"/>
              </w:rPr>
            </m:ctrlPr>
          </m:sub>
        </m:sSub>
      </m:oMath>
      <w:r>
        <w:instrText xml:space="preserve">^('')</w:instrText>
      </w:r>
      <w:r>
        <w:fldChar w:fldCharType="end"/>
      </w:r>
    </w:p>
    <w:p>
      <w:pPr>
        <w:pStyle w:val="25"/>
        <w:ind w:firstLine="420"/>
        <w:rPr>
          <w:rFonts w:hint="default"/>
        </w:rPr>
      </w:pPr>
      <w:r>
        <w:t>式中：</w:t>
      </w:r>
    </w:p>
    <w:p>
      <w:pPr>
        <w:ind w:firstLine="420"/>
      </w:pP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--结构i单元上作用的惯性力（kN）；</w:t>
      </w:r>
    </w:p>
    <w:p>
      <w:pPr>
        <w:ind w:firstLine="420"/>
      </w:pP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--结构i单元的质量（10^3kg）；</w:t>
      </w:r>
    </w:p>
    <w:p>
      <w:pPr>
        <w:ind w:firstLine="420"/>
      </w:pP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 ^('')</w:instrText>
      </w:r>
      <w:r>
        <w:fldChar w:fldCharType="end"/>
      </w:r>
      <w:r>
        <w:t>--自由土层对应于结构i单元位置处的峰值加速度（m/s^2）。</w:t>
      </w:r>
    </w:p>
    <w:p>
      <w:pPr>
        <w:pStyle w:val="25"/>
        <w:ind w:firstLine="420"/>
        <w:rPr>
          <w:rFonts w:hint="default"/>
        </w:rPr>
      </w:pPr>
      <w:r>
        <w:t>（6）地层特性变化较大情况</w:t>
      </w:r>
    </w:p>
    <w:p>
      <w:pPr>
        <w:pStyle w:val="25"/>
        <w:ind w:firstLine="420"/>
        <w:rPr>
          <w:rFonts w:hint="default"/>
        </w:rPr>
      </w:pPr>
      <w:r>
        <w:t>对于地层条件较为复杂情况，如土岩交界等，此时场地很难简化为均匀场地。另外，水平基床系数亦不宜进行等效加权，对相差较大的土层和岩层取各自的水平基床系数。</w:t>
      </w:r>
    </w:p>
    <w:p>
      <w:pPr>
        <w:pStyle w:val="3"/>
        <w:rPr>
          <w:rFonts w:hint="default"/>
        </w:rPr>
      </w:pPr>
      <w:bookmarkStart w:id="16" w:name="_Toc112924648"/>
      <w:r>
        <w:t>3.2 反应加速度法</w:t>
      </w:r>
      <w:bookmarkEnd w:id="16"/>
    </w:p>
    <w:p>
      <w:pPr>
        <w:pStyle w:val="25"/>
        <w:ind w:firstLine="420"/>
        <w:rPr>
          <w:rFonts w:hint="default"/>
        </w:rPr>
      </w:pPr>
      <w:r>
        <w:t>从振动力学角度看，土-地下结构体系的地震反应是一个由于运动惯性引起的体积力问题，反应位移法实质上是在动力子结构法基础上简化而来，土-结构交界面的输入忽略了结构存在对土体-结构界面处的土体变形和应力影响，直接将土体-结构界面处与自由场土体中对应的土体变形和应力施加到结构上，这必然会带来一定的误差，而且经典的反应位移法还存在地基弹簧刚度不准确和计算不方便的问题。因此，日本学者提出了一种反应加速度法来改进这些问题。反应加速度法已被纳入我国《城市轨道交通结构抗震设计规范GB50909-2014》。</w:t>
      </w:r>
    </w:p>
    <w:p>
      <w:pPr>
        <w:pStyle w:val="25"/>
        <w:ind w:firstLine="420"/>
        <w:rPr>
          <w:rFonts w:hint="default"/>
        </w:rPr>
      </w:pPr>
      <w:r>
        <w:t>横断面地下结构反应加速度法的基本思想是将土体划分为二维平面应变模型，结构采用梁单元。计算地震作用的方法是，首先进行一维土层反应分析，从中抽取地下结构上、下底位置发生最大相对位移时刻土层的水平向绝对加速度值，然后将其以体力的方式转化成节点力施加到有限元模型上，其计算模型如下图所示。</w:t>
      </w:r>
    </w:p>
    <w:p>
      <w:pPr>
        <w:jc w:val="center"/>
      </w:pPr>
      <w:r>
        <w:drawing>
          <wp:inline distT="0" distB="0" distL="0" distR="0">
            <wp:extent cx="4286250"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86250" cy="2295525"/>
                    </a:xfrm>
                    <a:prstGeom prst="rect">
                      <a:avLst/>
                    </a:prstGeom>
                  </pic:spPr>
                </pic:pic>
              </a:graphicData>
            </a:graphic>
          </wp:inline>
        </w:drawing>
      </w:r>
    </w:p>
    <w:p>
      <w:pPr>
        <w:pStyle w:val="28"/>
        <w:rPr>
          <w:rFonts w:hint="default"/>
        </w:rPr>
      </w:pPr>
      <w:r>
        <w:t>图3-2-1  反应加速度法计算模型</w:t>
      </w:r>
    </w:p>
    <w:p>
      <w:pPr>
        <w:jc w:val="center"/>
      </w:pPr>
      <w:r>
        <w:drawing>
          <wp:inline distT="0" distB="0" distL="0" distR="0">
            <wp:extent cx="3286125" cy="185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286125" cy="1857375"/>
                    </a:xfrm>
                    <a:prstGeom prst="rect">
                      <a:avLst/>
                    </a:prstGeom>
                  </pic:spPr>
                </pic:pic>
              </a:graphicData>
            </a:graphic>
          </wp:inline>
        </w:drawing>
      </w:r>
    </w:p>
    <w:p>
      <w:pPr>
        <w:pStyle w:val="28"/>
        <w:rPr>
          <w:rFonts w:hint="default"/>
        </w:rPr>
      </w:pPr>
      <w:r>
        <w:t>图3-2-2  土体单元平衡状态</w:t>
      </w:r>
    </w:p>
    <w:p>
      <w:pPr>
        <w:pStyle w:val="25"/>
        <w:ind w:firstLine="420"/>
        <w:rPr>
          <w:rFonts w:hint="default"/>
        </w:rPr>
      </w:pPr>
      <w:r>
        <w:t>反应加速度法的关键是确定有限元模型中各节点上的水平加速度，也称水平有效反应加速度，可用一维自由场土层地震反应分析方法获得。由于土层除了惯性力以外还存在阻尼力，如上图土体单元平衡状态所示是第i层土体单元在地下结构顶、底板位置处发生最大相对变形时刻的平衡状态，其平衡方程见式（11.5-1）。</w:t>
      </w:r>
    </w:p>
    <w:p>
      <w:pPr>
        <w:jc w:val="center"/>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 -</w:instrText>
      </w:r>
      <m:oMath>
        <m:sSub>
          <m:sSubPr>
            <m:ctrlPr>
              <w:rPr>
                <w:rFonts w:ascii="Cambria Math" w:hAnsi="Cambria Math"/>
              </w:rPr>
            </m:ctrlPr>
          </m:sSubPr>
          <m:e>
            <m:r>
              <m:rPr>
                <m:sty m:val="p"/>
              </m:rPr>
              <m:t xml:space="preserve">τ</m:t>
            </m:r>
            <m:ctrlPr>
              <w:rPr>
                <w:rFonts w:ascii="Cambria Math" w:hAnsi="Cambria Math"/>
              </w:rPr>
            </m:ctrlPr>
          </m:e>
          <m:sub>
            <m:r>
              <m:rPr>
                <m:sty m:val="p"/>
              </m:rPr>
              <m:t xml:space="preserve">i−1</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ρ</m:t>
            </m:r>
            <m:ctrlPr>
              <w:rPr>
                <w:rFonts w:ascii="Cambria Math" w:hAnsi="Cambria Math"/>
              </w:rPr>
            </m:ctrlPr>
          </m:e>
          <m:sub>
            <m:r>
              <m:rPr>
                <m:sty m:val="p"/>
              </m:rPr>
              <m:t xml:space="preserve">i</m:t>
            </m:r>
            <m:ctrlPr>
              <w:rPr>
                <w:rFonts w:ascii="Cambria Math" w:hAnsi="Cambria Math"/>
              </w:rPr>
            </m:ctrlPr>
          </m:sub>
        </m:sSub>
        <m:sSub>
          <m:sSubPr>
            <m:ctrlPr>
              <w:rPr>
                <w:rFonts w:ascii="Cambria Math" w:hAnsi="Cambria Math"/>
              </w:rPr>
            </m:ctrlPr>
          </m:sSubPr>
          <m:e>
            <m:r>
              <m:rPr>
                <m:sty m:val="p"/>
              </m:rPr>
              <m:t xml:space="preserve">h</m:t>
            </m:r>
            <m:ctrlPr>
              <w:rPr>
                <w:rFonts w:ascii="Cambria Math" w:hAnsi="Cambria Math"/>
              </w:rPr>
            </m:ctrlPr>
          </m:e>
          <m:sub>
            <m:r>
              <m:rPr>
                <m:sty m:val="p"/>
              </m:rPr>
              <m:t xml:space="preserve">i</m:t>
            </m:r>
            <m:ctrlPr>
              <w:rPr>
                <w:rFonts w:ascii="Cambria Math" w:hAnsi="Cambria Math"/>
              </w:rPr>
            </m:ctrlPr>
          </m:sub>
        </m:sSub>
      </m:oMath>
      <w:r>
        <w:instrText xml:space="preserve">u^('')+</w:instrText>
      </w:r>
      <m:oMath>
        <m:sSub>
          <m:sSubPr>
            <m:ctrlPr>
              <w:rPr>
                <w:rFonts w:ascii="Cambria Math" w:hAnsi="Cambria Math"/>
              </w:rPr>
            </m:ctrlPr>
          </m:sSubPr>
          <m:e>
            <m:r>
              <m:rPr>
                <m:sty m:val="p"/>
              </m:rPr>
              <m:t xml:space="preserve">c</m:t>
            </m:r>
            <m:ctrlPr>
              <w:rPr>
                <w:rFonts w:ascii="Cambria Math" w:hAnsi="Cambria Math"/>
              </w:rPr>
            </m:ctrlPr>
          </m:e>
          <m:sub>
            <m:r>
              <m:rPr>
                <m:sty m:val="p"/>
              </m:rPr>
              <m:t xml:space="preserve">i</m:t>
            </m:r>
            <m:ctrlPr>
              <w:rPr>
                <w:rFonts w:ascii="Cambria Math" w:hAnsi="Cambria Math"/>
              </w:rPr>
            </m:ctrlPr>
          </m:sub>
        </m:sSub>
      </m:oMath>
      <w:r>
        <w:instrText xml:space="preserve">u^(')=0</w:instrText>
      </w:r>
      <w:r>
        <w:fldChar w:fldCharType="end"/>
      </w:r>
    </w:p>
    <w:p>
      <w:pPr>
        <w:pStyle w:val="25"/>
        <w:ind w:firstLine="420"/>
        <w:rPr>
          <w:rFonts w:hint="default"/>
        </w:rPr>
      </w:pPr>
      <w:r>
        <w:t>式中，</w:t>
      </w:r>
    </w:p>
    <w:p>
      <w:pPr>
        <w:ind w:firstLine="420"/>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i−1</m:t>
            </m:r>
            <m:ctrlPr>
              <w:rPr>
                <w:rFonts w:ascii="Cambria Math" w:hAnsi="Cambria Math"/>
              </w:rPr>
            </m:ctrlPr>
          </m:sub>
        </m:sSub>
      </m:oMath>
      <w:r>
        <w:fldChar w:fldCharType="begin"/>
      </w:r>
      <w:r>
        <w:instrText xml:space="preserve">eq</w:instrText>
      </w:r>
      <w:r>
        <w:fldChar w:fldCharType="end"/>
      </w:r>
      <w:r>
        <w:t>--地下结构顶位置处发生最大相对变形时刻第i层土单元顶部与底部的剪应力，当i=1时，τ0=0；</w:t>
      </w:r>
    </w:p>
    <w:p>
      <w:pPr>
        <w:ind w:firstLine="420"/>
      </w:pPr>
      <m:oMath>
        <m:sSub>
          <m:sSubPr>
            <m:ctrlPr>
              <w:rPr>
                <w:rFonts w:ascii="Cambria Math" w:hAnsi="Cambria Math"/>
              </w:rPr>
            </m:ctrlPr>
          </m:sSubPr>
          <m:e>
            <m:r>
              <m:rPr/>
              <w:rPr>
                <w:rFonts w:ascii="Cambria Math" w:hAnsi="Cambria Math"/>
              </w:rPr>
              <m:t>τ</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--地下结构底板位置处发生最大相对变形时刻第i层土单元顶部与底部的剪应力；</w:t>
      </w:r>
    </w:p>
    <w:p>
      <w:pPr>
        <w:ind w:firstLine="420"/>
      </w:pPr>
      <m:oMath>
        <m:sSub>
          <m:sSubPr>
            <m:ctrlPr>
              <w:rPr>
                <w:rFonts w:ascii="Cambria Math" w:hAnsi="Cambria Math"/>
              </w:rPr>
            </m:ctrlPr>
          </m:sSubPr>
          <m:e>
            <m:r>
              <m:rPr/>
              <w:rPr>
                <w:rFonts w:ascii="Cambria Math" w:hAnsi="Cambria Math"/>
              </w:rPr>
              <m:t>ρ</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--第i层土单元的密度；</w:t>
      </w:r>
    </w:p>
    <w:p>
      <w:pPr>
        <w:ind w:firstLine="420"/>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--为第i层土单元的厚度；</w:t>
      </w:r>
    </w:p>
    <w:p>
      <w:pPr>
        <w:ind w:firstLine="420"/>
      </w:pP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--阻尼系数；</w:t>
      </w:r>
    </w:p>
    <w:p>
      <w:pPr>
        <w:ind w:firstLine="420"/>
      </w:pPr>
      <w:r>
        <w:fldChar w:fldCharType="begin"/>
      </w:r>
      <w:r>
        <w:instrText xml:space="preserve">eq u^('')</w:instrText>
      </w:r>
      <w:r>
        <w:fldChar w:fldCharType="end"/>
      </w:r>
      <w:r>
        <w:t>--土单元绝对加速度；</w:t>
      </w:r>
    </w:p>
    <w:p>
      <w:pPr>
        <w:ind w:firstLine="420"/>
      </w:pPr>
      <w:r>
        <w:fldChar w:fldCharType="begin"/>
      </w:r>
      <w:r>
        <w:instrText xml:space="preserve">eq u^(')</w:instrText>
      </w:r>
      <w:r>
        <w:fldChar w:fldCharType="end"/>
      </w:r>
      <w:r>
        <w:t>--土单元绝对速度。</w:t>
      </w:r>
    </w:p>
    <w:p>
      <w:pPr>
        <w:pStyle w:val="25"/>
        <w:ind w:firstLine="420"/>
        <w:rPr>
          <w:rFonts w:hint="default"/>
        </w:rPr>
      </w:pPr>
      <w:r>
        <w:t>由于阻尼力存在，反应加速度法施加的水平加速度并不等于土层反应的绝对加速度，而应该是式（11.5-1）中两个剪应力差值对应的有效反应加速度，可写为</w:t>
      </w:r>
    </w:p>
    <w:p>
      <w:pPr>
        <w:jc w:val="center"/>
      </w:pP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 =\f(</w:instrText>
      </w:r>
      <m:oMath>
        <m:sSub>
          <m:sSubPr>
            <m:ctrlPr>
              <w:rPr>
                <w:rFonts w:ascii="Cambria Math" w:hAnsi="Cambria Math"/>
              </w:rPr>
            </m:ctrlPr>
          </m:sSubPr>
          <m:e>
            <m:r>
              <m:rPr>
                <m:sty m:val="p"/>
              </m:rPr>
              <m:t xml:space="preserve">τ</m:t>
            </m:r>
            <m:ctrlPr>
              <w:rPr>
                <w:rFonts w:ascii="Cambria Math" w:hAnsi="Cambria Math"/>
              </w:rPr>
            </m:ctrlPr>
          </m:e>
          <m:sub>
            <m:r>
              <m:rPr>
                <m:sty m:val="p"/>
              </m:rPr>
              <m:t xml:space="preserve">i</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τ</m:t>
            </m:r>
            <m:ctrlPr>
              <w:rPr>
                <w:rFonts w:ascii="Cambria Math" w:hAnsi="Cambria Math"/>
              </w:rPr>
            </m:ctrlPr>
          </m:e>
          <m:sub>
            <m:r>
              <m:rPr>
                <m:sty m:val="p"/>
              </m:rPr>
              <m:t xml:space="preserve">i−1</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ρ</m:t>
            </m:r>
            <m:ctrlPr>
              <w:rPr>
                <w:rFonts w:ascii="Cambria Math" w:hAnsi="Cambria Math"/>
              </w:rPr>
            </m:ctrlPr>
          </m:e>
          <m:sub>
            <m:r>
              <m:rPr>
                <m:sty m:val="p"/>
              </m:rPr>
              <m:t xml:space="preserve">i</m:t>
            </m:r>
            <m:ctrlPr>
              <w:rPr>
                <w:rFonts w:ascii="Cambria Math" w:hAnsi="Cambria Math"/>
              </w:rPr>
            </m:ctrlPr>
          </m:sub>
        </m:sSub>
        <m:sSub>
          <m:sSubPr>
            <m:ctrlPr>
              <w:rPr>
                <w:rFonts w:ascii="Cambria Math" w:hAnsi="Cambria Math"/>
              </w:rPr>
            </m:ctrlPr>
          </m:sSubPr>
          <m:e>
            <m:r>
              <m:rPr>
                <m:sty m:val="p"/>
              </m:rPr>
              <m:t xml:space="preserve">h</m:t>
            </m:r>
            <m:ctrlPr>
              <w:rPr>
                <w:rFonts w:ascii="Cambria Math" w:hAnsi="Cambria Math"/>
              </w:rPr>
            </m:ctrlPr>
          </m:e>
          <m:sub>
            <m:r>
              <m:rPr>
                <m:sty m:val="p"/>
              </m:rPr>
              <m:t xml:space="preserve">i</m:t>
            </m:r>
            <m:ctrlPr>
              <w:rPr>
                <w:rFonts w:ascii="Cambria Math" w:hAnsi="Cambria Math"/>
              </w:rPr>
            </m:ctrlPr>
          </m:sub>
        </m:sSub>
      </m:oMath>
      <w:r>
        <w:instrText xml:space="preserve">)</w:instrText>
      </w:r>
      <w:r>
        <w:fldChar w:fldCharType="end"/>
      </w:r>
    </w:p>
    <w:p>
      <w:pPr>
        <w:pStyle w:val="3"/>
        <w:rPr>
          <w:rFonts w:hint="default"/>
        </w:rPr>
      </w:pPr>
      <w:bookmarkStart w:id="17" w:name="_Toc112924649"/>
      <w:r>
        <w:t>3.3 时程分析法</w:t>
      </w:r>
      <w:bookmarkEnd w:id="17"/>
    </w:p>
    <w:p>
      <w:pPr>
        <w:pStyle w:val="25"/>
        <w:ind w:firstLine="420"/>
        <w:rPr>
          <w:rFonts w:hint="default"/>
        </w:rPr>
      </w:pPr>
      <w:r>
        <w:t>时程分析法即结构直接动力法，是最经典的方法之一。其基本原理为：将地震运动视为一个随时间而变化的过程，并将地下结构物和周围岩土体介质视为共同受力变形的整体，通过直接输入地震加速度记录，在满足变形协调的前提条件下分别计算结构物和岩土体介质在各时刻的位移、速度、加速度，以及应变和内力，进而验算场地的稳定性和进行结构截面设计。时程分析法具有普遍适用性，在地质条件、结构形式复杂，隧道结构宜考虑地基和结构的相互作用以及地基和结构的非线性动力特性时，应采用这一方法。</w:t>
      </w:r>
    </w:p>
    <w:p>
      <w:pPr>
        <w:pStyle w:val="25"/>
        <w:ind w:firstLine="420"/>
        <w:rPr>
          <w:rFonts w:hint="default"/>
        </w:rPr>
      </w:pPr>
      <w:r>
        <w:t>时程分析法的一般求解方程如下：</w:t>
      </w:r>
    </w:p>
    <w:p>
      <w:pPr>
        <w:jc w:val="center"/>
      </w:pPr>
      <w:r>
        <w:fldChar w:fldCharType="begin"/>
      </w:r>
      <w:r>
        <w:instrText xml:space="preserve">eq Mu^('')+Cu^(')+Ku=</w:instrText>
      </w:r>
      <m:oMath>
        <m:sSub>
          <m:sSubPr>
            <m:ctrlPr>
              <w:rPr>
                <w:rFonts w:ascii="Cambria Math" w:hAnsi="Cambria Math"/>
              </w:rPr>
            </m:ctrlPr>
          </m:sSubPr>
          <m:e>
            <m:r>
              <m:rPr>
                <m:sty m:val="p"/>
              </m:rPr>
              <m:t xml:space="preserve">f</m:t>
            </m:r>
            <m:ctrlPr>
              <w:rPr>
                <w:rFonts w:ascii="Cambria Math" w:hAnsi="Cambria Math"/>
              </w:rPr>
            </m:ctrlPr>
          </m:e>
          <m:sub>
            <m:r>
              <m:rPr>
                <m:sty m:val="p"/>
              </m:rPr>
              <m:t xml:space="preserve">t</m:t>
            </m:r>
            <m:ctrlPr>
              <w:rPr>
                <w:rFonts w:ascii="Cambria Math" w:hAnsi="Cambria Math"/>
              </w:rPr>
            </m:ctrlPr>
          </m:sub>
        </m:sSub>
      </m:oMath>
      <w:r>
        <w:fldChar w:fldCharType="end"/>
      </w:r>
    </w:p>
    <w:p>
      <w:pPr>
        <w:pStyle w:val="25"/>
        <w:ind w:firstLine="420"/>
        <w:rPr>
          <w:rFonts w:hint="default"/>
        </w:rPr>
      </w:pPr>
      <w:r>
        <w:t>式中，</w:t>
      </w:r>
    </w:p>
    <w:p>
      <w:pPr>
        <w:ind w:firstLine="420"/>
      </w:pPr>
      <w:r>
        <w:fldChar w:fldCharType="begin"/>
      </w:r>
      <w:r>
        <w:instrText xml:space="preserve">eq M</w:instrText>
      </w:r>
      <w:r>
        <w:fldChar w:fldCharType="end"/>
      </w:r>
      <w:r>
        <w:t>--体系的质量矩阵；</w:t>
      </w:r>
    </w:p>
    <w:p>
      <w:pPr>
        <w:ind w:firstLine="420"/>
      </w:pPr>
      <w:r>
        <w:fldChar w:fldCharType="begin"/>
      </w:r>
      <w:r>
        <w:instrText xml:space="preserve">eq C</w:instrText>
      </w:r>
      <w:r>
        <w:fldChar w:fldCharType="end"/>
      </w:r>
      <w:r>
        <w:t>--体系的阻尼矩阵；</w:t>
      </w:r>
    </w:p>
    <w:p>
      <w:pPr>
        <w:ind w:firstLine="420"/>
      </w:pPr>
      <w:r>
        <w:fldChar w:fldCharType="begin"/>
      </w:r>
      <w:r>
        <w:instrText xml:space="preserve">eq K</w:instrText>
      </w:r>
      <w:r>
        <w:fldChar w:fldCharType="end"/>
      </w:r>
      <w:r>
        <w:t>--体系的刚度矩阵；</w:t>
      </w:r>
    </w:p>
    <w:p>
      <w:pPr>
        <w:ind w:firstLine="420"/>
      </w:pPr>
      <w:r>
        <w:fldChar w:fldCharType="begin"/>
      </w:r>
      <w:r>
        <w:instrText xml:space="preserve">eq u^('')</w:instrText>
      </w:r>
      <w:r>
        <w:fldChar w:fldCharType="end"/>
      </w:r>
      <w:r>
        <w:t>--体系的加速度；</w:t>
      </w:r>
    </w:p>
    <w:p>
      <w:pPr>
        <w:ind w:firstLine="420"/>
      </w:pPr>
      <w:r>
        <w:fldChar w:fldCharType="begin"/>
      </w:r>
      <w:r>
        <w:instrText xml:space="preserve">eq u^(')</w:instrText>
      </w:r>
      <w:r>
        <w:fldChar w:fldCharType="end"/>
      </w:r>
      <w:r>
        <w:t>--体系的速度；</w:t>
      </w:r>
    </w:p>
    <w:p>
      <w:pPr>
        <w:ind w:firstLine="420"/>
      </w:pPr>
      <w:r>
        <w:fldChar w:fldCharType="begin"/>
      </w:r>
      <w:r>
        <w:instrText xml:space="preserve">eq u</w:instrText>
      </w:r>
      <w:r>
        <w:fldChar w:fldCharType="end"/>
      </w:r>
      <w:r>
        <w:t>--体系的位移；</w:t>
      </w:r>
    </w:p>
    <w:p>
      <w:pPr>
        <w:ind w:firstLine="420"/>
      </w:pP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t</m:t>
            </m:r>
            <m:ctrlPr>
              <w:rPr>
                <w:rFonts w:ascii="Cambria Math" w:hAnsi="Cambria Math"/>
              </w:rPr>
            </m:ctrlPr>
          </m:sub>
        </m:sSub>
      </m:oMath>
      <w:r>
        <w:fldChar w:fldCharType="begin"/>
      </w:r>
      <w:r>
        <w:instrText xml:space="preserve">eq</w:instrText>
      </w:r>
      <w:r>
        <w:fldChar w:fldCharType="end"/>
      </w:r>
      <w:r>
        <w:t>--为地震荷载。</w:t>
      </w:r>
    </w:p>
    <w:p>
      <w:pPr>
        <w:pStyle w:val="25"/>
        <w:ind w:firstLine="420"/>
        <w:rPr>
          <w:rFonts w:hint="default"/>
        </w:rPr>
      </w:pPr>
      <w:r>
        <w:t>土层的选取范围，一般顶面取地表面，底面取等效基岩面，水平向自结构侧壁至边界的距离宜至少取结构水平有效宽度的3倍，如下图所示。</w:t>
      </w:r>
    </w:p>
    <w:p>
      <w:pPr>
        <w:pStyle w:val="25"/>
        <w:ind w:firstLine="420"/>
        <w:rPr>
          <w:rFonts w:hint="default"/>
        </w:rPr>
      </w:pPr>
      <w:r>
        <w:t>当隧道或地下车站结构沿纵向结构形式连续、规则、横向断面构造不变，周围土层沿纵向分布一致时，可只沿横向计算水平地震作用并进行抗震验算，抗震分析可近似按平面应变问题处理。当结构形式变化较大，土层条件不均匀时需要按空间问题进行三维建模求解。</w:t>
      </w:r>
    </w:p>
    <w:p>
      <w:pPr>
        <w:jc w:val="center"/>
      </w:pPr>
      <w:r>
        <w:drawing>
          <wp:inline distT="0" distB="0" distL="0" distR="0">
            <wp:extent cx="5276850"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6850" cy="3057780"/>
                    </a:xfrm>
                    <a:prstGeom prst="rect">
                      <a:avLst/>
                    </a:prstGeom>
                  </pic:spPr>
                </pic:pic>
              </a:graphicData>
            </a:graphic>
          </wp:inline>
        </w:drawing>
      </w:r>
    </w:p>
    <w:p>
      <w:pPr>
        <w:pStyle w:val="28"/>
        <w:rPr>
          <w:rFonts w:hint="default"/>
        </w:rPr>
      </w:pPr>
      <w:r>
        <w:t>图3-3-1  一般情况下计算模型选取范围</w:t>
      </w:r>
    </w:p>
    <w:p>
      <w:pPr>
        <w:jc w:val="center"/>
      </w:pPr>
      <w:r>
        <w:drawing>
          <wp:inline distT="0" distB="0" distL="0" distR="0">
            <wp:extent cx="32575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257550" cy="4286250"/>
                    </a:xfrm>
                    <a:prstGeom prst="rect">
                      <a:avLst/>
                    </a:prstGeom>
                  </pic:spPr>
                </pic:pic>
              </a:graphicData>
            </a:graphic>
          </wp:inline>
        </w:drawing>
      </w:r>
    </w:p>
    <w:p>
      <w:pPr>
        <w:pStyle w:val="28"/>
        <w:rPr>
          <w:rFonts w:hint="default"/>
        </w:rPr>
      </w:pPr>
      <w:r>
        <w:t>图3-3-2  三维粘弹性人工边界与自由边界示意图（轴测图）</w:t>
      </w:r>
    </w:p>
    <w:p>
      <w:pPr>
        <w:jc w:val="center"/>
      </w:pPr>
      <w:r>
        <w:drawing>
          <wp:inline distT="0" distB="0" distL="0" distR="0">
            <wp:extent cx="5276850" cy="276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76850" cy="2764228"/>
                    </a:xfrm>
                    <a:prstGeom prst="rect">
                      <a:avLst/>
                    </a:prstGeom>
                  </pic:spPr>
                </pic:pic>
              </a:graphicData>
            </a:graphic>
          </wp:inline>
        </w:drawing>
      </w:r>
    </w:p>
    <w:p>
      <w:pPr>
        <w:pStyle w:val="28"/>
        <w:rPr>
          <w:rFonts w:hint="default"/>
        </w:rPr>
      </w:pPr>
      <w:r>
        <w:t>图3-3-3  三维粘弹性人工边界与自由边界示意图（立面图）</w:t>
      </w:r>
    </w:p>
    <w:p>
      <w:pPr>
        <w:pStyle w:val="25"/>
        <w:ind w:firstLine="420"/>
        <w:rPr>
          <w:rFonts w:hint="default"/>
        </w:rPr>
      </w:pPr>
      <w:r>
        <w:t>为避免应力波在模型的边界上发生反射而使得结果失真，在三维模型中采用人工边界来进行处理。分别有粘弹性（静态）边界和自由边界两种。</w:t>
      </w:r>
    </w:p>
    <w:p>
      <w:pPr>
        <w:pStyle w:val="25"/>
        <w:ind w:firstLine="420"/>
        <w:rPr>
          <w:rFonts w:hint="default"/>
        </w:rPr>
      </w:pPr>
      <w:r>
        <w:t>粘弹性人工边界可以方便地与有限元法结合使用，只需在有限元模型中人工边界节点的法向和切向分别设置弹簧元件和阻尼元件，见图3.2-2。对于三个方向的弹簧系数和阻尼系数的取值可以通过下式获得：</w:t>
      </w:r>
    </w:p>
    <w:p>
      <w:pPr>
        <w:pStyle w:val="25"/>
        <w:ind w:firstLine="420"/>
        <w:rPr>
          <w:rFonts w:hint="default"/>
        </w:rPr>
      </w:pPr>
      <w:r>
        <w:t>法向：</w:t>
      </w:r>
    </w:p>
    <w:p>
      <w:pPr>
        <w:jc w:val="center"/>
      </w:pPr>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ix</m:t>
            </m:r>
            <m:ctrlPr>
              <w:rPr>
                <w:rFonts w:ascii="Cambria Math" w:hAnsi="Cambria Math"/>
              </w:rPr>
            </m:ctrlPr>
          </m:sub>
        </m:sSub>
      </m:oMath>
      <w:r>
        <w:fldChar w:fldCharType="begin"/>
      </w:r>
      <w:r>
        <w:instrText xml:space="preserve">eq =\f(</w:instrText>
      </w:r>
      <m:oMath>
        <m:sSub>
          <m:sSubPr>
            <m:ctrlPr>
              <w:rPr>
                <w:rFonts w:ascii="Cambria Math" w:hAnsi="Cambria Math"/>
              </w:rPr>
            </m:ctrlPr>
          </m:sSubPr>
          <m:e>
            <m:r>
              <m:rPr>
                <m:sty m:val="p"/>
              </m:rPr>
              <m:t xml:space="preserve">α</m:t>
            </m:r>
            <m:ctrlPr>
              <w:rPr>
                <w:rFonts w:ascii="Cambria Math" w:hAnsi="Cambria Math"/>
              </w:rPr>
            </m:ctrlPr>
          </m:e>
          <m:sub>
            <m:r>
              <m:rPr>
                <m:sty m:val="p"/>
              </m:rPr>
              <m:t xml:space="preserve">x</m:t>
            </m:r>
            <m:ctrlPr>
              <w:rPr>
                <w:rFonts w:ascii="Cambria Math" w:hAnsi="Cambria Math"/>
              </w:rPr>
            </m:ctrlPr>
          </m:sub>
        </m:sSub>
        <m:sSub>
          <m:sSubPr>
            <m:ctrlPr>
              <w:rPr>
                <w:rFonts w:ascii="Cambria Math" w:hAnsi="Cambria Math"/>
              </w:rPr>
            </m:ctrlPr>
          </m:sSubPr>
          <m:e>
            <m:r>
              <m:rPr>
                <m:sty m:val="p"/>
              </m:rPr>
              <m:t xml:space="preserve">G</m:t>
            </m:r>
            <m:ctrlPr>
              <w:rPr>
                <w:rFonts w:ascii="Cambria Math" w:hAnsi="Cambria Math"/>
              </w:rPr>
            </m:ctrlPr>
          </m:e>
          <m:sub>
            <m:r>
              <m:rPr>
                <m:sty m:val="p"/>
              </m:rPr>
              <m:t xml:space="preserve">i</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R</m:t>
            </m:r>
            <m:ctrlPr>
              <w:rPr>
                <w:rFonts w:ascii="Cambria Math" w:hAnsi="Cambria Math"/>
              </w:rPr>
            </m:ctrlPr>
          </m:e>
          <m:sub>
            <m:r>
              <m:rPr>
                <m:sty m:val="p"/>
              </m:rPr>
              <m:t xml:space="preserve">i</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A</m:t>
            </m:r>
            <m:ctrlPr>
              <w:rPr>
                <w:rFonts w:ascii="Cambria Math" w:hAnsi="Cambria Math"/>
              </w:rPr>
            </m:ctrlPr>
          </m:e>
          <m:sub>
            <m:r>
              <m:rPr>
                <m:sty m:val="p"/>
              </m:rPr>
              <m:t xml:space="preserve">i</m:t>
            </m:r>
            <m:ctrlPr>
              <w:rPr>
                <w:rFonts w:ascii="Cambria Math" w:hAnsi="Cambria Math"/>
              </w:rPr>
            </m:ctrlPr>
          </m:sub>
        </m:sSub>
      </m:oMath>
      <w:r>
        <w:fldChar w:fldCharType="end"/>
      </w:r>
    </w:p>
    <w:p>
      <w:pPr>
        <w:jc w:val="center"/>
      </w:pP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ix</m:t>
            </m:r>
            <m:ctrlPr>
              <w:rPr>
                <w:rFonts w:ascii="Cambria Math" w:hAnsi="Cambria Math"/>
              </w:rPr>
            </m:ctrlPr>
          </m:sub>
        </m:sSub>
      </m:oMath>
      <w:r>
        <w:fldChar w:fldCharType="begin"/>
      </w:r>
      <w:r>
        <w:instrText xml:space="preserve">eq =</w:instrText>
      </w:r>
      <m:oMath>
        <m:sSub>
          <m:sSubPr>
            <m:ctrlPr>
              <w:rPr>
                <w:rFonts w:ascii="Cambria Math" w:hAnsi="Cambria Math"/>
              </w:rPr>
            </m:ctrlPr>
          </m:sSubPr>
          <m:e>
            <m:r>
              <m:rPr>
                <m:sty m:val="p"/>
              </m:rPr>
              <m:t xml:space="preserve">ρ</m:t>
            </m:r>
            <m:ctrlPr>
              <w:rPr>
                <w:rFonts w:ascii="Cambria Math" w:hAnsi="Cambria Math"/>
              </w:rPr>
            </m:ctrlPr>
          </m:e>
          <m:sub>
            <m:r>
              <m:rPr>
                <m:sty m:val="p"/>
              </m:rPr>
              <m:t xml:space="preserve">i</m:t>
            </m:r>
            <m:ctrlPr>
              <w:rPr>
                <w:rFonts w:ascii="Cambria Math" w:hAnsi="Cambria Math"/>
              </w:rPr>
            </m:ctrlPr>
          </m:sub>
        </m:sSub>
        <m:sSub>
          <m:sSubPr>
            <m:ctrlPr>
              <w:rPr>
                <w:rFonts w:ascii="Cambria Math" w:hAnsi="Cambria Math"/>
              </w:rPr>
            </m:ctrlPr>
          </m:sSubPr>
          <m:e>
            <m:r>
              <m:rPr>
                <m:sty m:val="p"/>
              </m:rPr>
              <m:t xml:space="preserve">c</m:t>
            </m:r>
            <m:ctrlPr>
              <w:rPr>
                <w:rFonts w:ascii="Cambria Math" w:hAnsi="Cambria Math"/>
              </w:rPr>
            </m:ctrlPr>
          </m:e>
          <m:sub>
            <m:r>
              <m:rPr>
                <m:sty m:val="p"/>
              </m:rPr>
              <m:t xml:space="preserve">ip</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A</m:t>
            </m:r>
            <m:ctrlPr>
              <w:rPr>
                <w:rFonts w:ascii="Cambria Math" w:hAnsi="Cambria Math"/>
              </w:rPr>
            </m:ctrlPr>
          </m:e>
          <m:sub>
            <m:r>
              <m:rPr>
                <m:sty m:val="p"/>
              </m:rPr>
              <m:t xml:space="preserve">i</m:t>
            </m:r>
            <m:ctrlPr>
              <w:rPr>
                <w:rFonts w:ascii="Cambria Math" w:hAnsi="Cambria Math"/>
              </w:rPr>
            </m:ctrlPr>
          </m:sub>
        </m:sSub>
      </m:oMath>
      <w:r>
        <w:fldChar w:fldCharType="end"/>
      </w:r>
    </w:p>
    <w:p>
      <w:pPr>
        <w:pStyle w:val="25"/>
        <w:ind w:firstLine="420"/>
        <w:rPr>
          <w:rFonts w:hint="default"/>
        </w:rPr>
      </w:pPr>
      <w:r>
        <w:t>切向：</w:t>
      </w:r>
    </w:p>
    <w:p>
      <w:pPr>
        <w:jc w:val="center"/>
      </w:pPr>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iy</m:t>
            </m:r>
            <m:ctrlPr>
              <w:rPr>
                <w:rFonts w:ascii="Cambria Math" w:hAnsi="Cambria Math"/>
              </w:rPr>
            </m:ctrlPr>
          </m:sub>
        </m:sSub>
      </m:oMath>
      <w:r>
        <w:fldChar w:fldCharType="begin"/>
      </w:r>
      <w:r>
        <w:instrText xml:space="preserve">eq =</w:instrText>
      </w:r>
      <m:oMath>
        <m:sSub>
          <m:sSubPr>
            <m:ctrlPr>
              <w:rPr>
                <w:rFonts w:ascii="Cambria Math" w:hAnsi="Cambria Math"/>
              </w:rPr>
            </m:ctrlPr>
          </m:sSubPr>
          <m:e>
            <m:r>
              <m:rPr>
                <m:sty m:val="p"/>
              </m:rPr>
              <m:t xml:space="preserve">K</m:t>
            </m:r>
            <m:ctrlPr>
              <w:rPr>
                <w:rFonts w:ascii="Cambria Math" w:hAnsi="Cambria Math"/>
              </w:rPr>
            </m:ctrlPr>
          </m:e>
          <m:sub>
            <m:r>
              <m:rPr>
                <m:sty m:val="p"/>
              </m:rPr>
              <m:t xml:space="preserve">iz</m:t>
            </m:r>
            <m:ctrlPr>
              <w:rPr>
                <w:rFonts w:ascii="Cambria Math" w:hAnsi="Cambria Math"/>
              </w:rPr>
            </m:ctrlPr>
          </m:sub>
        </m:sSub>
      </m:oMath>
      <w:r>
        <w:instrText xml:space="preserve">=\f(</w:instrText>
      </w:r>
      <m:oMath>
        <m:sSub>
          <m:sSubPr>
            <m:ctrlPr>
              <w:rPr>
                <w:rFonts w:ascii="Cambria Math" w:hAnsi="Cambria Math"/>
              </w:rPr>
            </m:ctrlPr>
          </m:sSubPr>
          <m:e>
            <m:r>
              <m:rPr>
                <m:sty m:val="p"/>
              </m:rPr>
              <m:t xml:space="preserve">α</m:t>
            </m:r>
            <m:ctrlPr>
              <w:rPr>
                <w:rFonts w:ascii="Cambria Math" w:hAnsi="Cambria Math"/>
              </w:rPr>
            </m:ctrlPr>
          </m:e>
          <m:sub>
            <m:r>
              <m:rPr>
                <m:sty m:val="p"/>
              </m:rPr>
              <m:t xml:space="preserve">y</m:t>
            </m:r>
            <m:ctrlPr>
              <w:rPr>
                <w:rFonts w:ascii="Cambria Math" w:hAnsi="Cambria Math"/>
              </w:rPr>
            </m:ctrlPr>
          </m:sub>
        </m:sSub>
        <m:sSub>
          <m:sSubPr>
            <m:ctrlPr>
              <w:rPr>
                <w:rFonts w:ascii="Cambria Math" w:hAnsi="Cambria Math"/>
              </w:rPr>
            </m:ctrlPr>
          </m:sSubPr>
          <m:e>
            <m:r>
              <m:rPr>
                <m:sty m:val="p"/>
              </m:rPr>
              <m:t xml:space="preserve">G</m:t>
            </m:r>
            <m:ctrlPr>
              <w:rPr>
                <w:rFonts w:ascii="Cambria Math" w:hAnsi="Cambria Math"/>
              </w:rPr>
            </m:ctrlPr>
          </m:e>
          <m:sub>
            <m:r>
              <m:rPr>
                <m:sty m:val="p"/>
              </m:rPr>
              <m:t xml:space="preserve">i</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R</m:t>
            </m:r>
            <m:ctrlPr>
              <w:rPr>
                <w:rFonts w:ascii="Cambria Math" w:hAnsi="Cambria Math"/>
              </w:rPr>
            </m:ctrlPr>
          </m:e>
          <m:sub>
            <m:r>
              <m:rPr>
                <m:sty m:val="p"/>
              </m:rPr>
              <m:t xml:space="preserve">i</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A</m:t>
            </m:r>
            <m:ctrlPr>
              <w:rPr>
                <w:rFonts w:ascii="Cambria Math" w:hAnsi="Cambria Math"/>
              </w:rPr>
            </m:ctrlPr>
          </m:e>
          <m:sub>
            <m:r>
              <m:rPr>
                <m:sty m:val="p"/>
              </m:rPr>
              <m:t xml:space="preserve">i</m:t>
            </m:r>
            <m:ctrlPr>
              <w:rPr>
                <w:rFonts w:ascii="Cambria Math" w:hAnsi="Cambria Math"/>
              </w:rPr>
            </m:ctrlPr>
          </m:sub>
        </m:sSub>
      </m:oMath>
      <w:r>
        <w:instrText xml:space="preserve">)=\f(</w:instrText>
      </w:r>
      <m:oMath>
        <m:sSub>
          <m:sSubPr>
            <m:ctrlPr>
              <w:rPr>
                <w:rFonts w:ascii="Cambria Math" w:hAnsi="Cambria Math"/>
              </w:rPr>
            </m:ctrlPr>
          </m:sSubPr>
          <m:e>
            <m:r>
              <m:rPr>
                <m:sty m:val="p"/>
              </m:rPr>
              <m:t xml:space="preserve">α</m:t>
            </m:r>
            <m:ctrlPr>
              <w:rPr>
                <w:rFonts w:ascii="Cambria Math" w:hAnsi="Cambria Math"/>
              </w:rPr>
            </m:ctrlPr>
          </m:e>
          <m:sub>
            <m:r>
              <m:rPr>
                <m:sty m:val="p"/>
              </m:rPr>
              <m:t xml:space="preserve">z</m:t>
            </m:r>
            <m:ctrlPr>
              <w:rPr>
                <w:rFonts w:ascii="Cambria Math" w:hAnsi="Cambria Math"/>
              </w:rPr>
            </m:ctrlPr>
          </m:sub>
        </m:sSub>
        <m:sSub>
          <m:sSubPr>
            <m:ctrlPr>
              <w:rPr>
                <w:rFonts w:ascii="Cambria Math" w:hAnsi="Cambria Math"/>
              </w:rPr>
            </m:ctrlPr>
          </m:sSubPr>
          <m:e>
            <m:r>
              <m:rPr>
                <m:sty m:val="p"/>
              </m:rPr>
              <m:t xml:space="preserve">G</m:t>
            </m:r>
            <m:ctrlPr>
              <w:rPr>
                <w:rFonts w:ascii="Cambria Math" w:hAnsi="Cambria Math"/>
              </w:rPr>
            </m:ctrlPr>
          </m:e>
          <m:sub>
            <m:r>
              <m:rPr>
                <m:sty m:val="p"/>
              </m:rPr>
              <m:t xml:space="preserve">i</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R</m:t>
            </m:r>
            <m:ctrlPr>
              <w:rPr>
                <w:rFonts w:ascii="Cambria Math" w:hAnsi="Cambria Math"/>
              </w:rPr>
            </m:ctrlPr>
          </m:e>
          <m:sub>
            <m:r>
              <m:rPr>
                <m:sty m:val="p"/>
              </m:rPr>
              <m:t xml:space="preserve">i</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A</m:t>
            </m:r>
            <m:ctrlPr>
              <w:rPr>
                <w:rFonts w:ascii="Cambria Math" w:hAnsi="Cambria Math"/>
              </w:rPr>
            </m:ctrlPr>
          </m:e>
          <m:sub>
            <m:r>
              <m:rPr>
                <m:sty m:val="p"/>
              </m:rPr>
              <m:t xml:space="preserve">i</m:t>
            </m:r>
            <m:ctrlPr>
              <w:rPr>
                <w:rFonts w:ascii="Cambria Math" w:hAnsi="Cambria Math"/>
              </w:rPr>
            </m:ctrlPr>
          </m:sub>
        </m:sSub>
      </m:oMath>
      <w:r>
        <w:fldChar w:fldCharType="end"/>
      </w:r>
    </w:p>
    <w:p>
      <w:pPr>
        <w:jc w:val="center"/>
      </w:pP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iy</m:t>
            </m:r>
            <m:ctrlPr>
              <w:rPr>
                <w:rFonts w:ascii="Cambria Math" w:hAnsi="Cambria Math"/>
              </w:rPr>
            </m:ctrlPr>
          </m:sub>
        </m:sSub>
      </m:oMath>
      <w:r>
        <w:fldChar w:fldCharType="begin"/>
      </w:r>
      <w:r>
        <w:instrText xml:space="preserve">eq =</w:instrText>
      </w:r>
      <m:oMath>
        <m:sSub>
          <m:sSubPr>
            <m:ctrlPr>
              <w:rPr>
                <w:rFonts w:ascii="Cambria Math" w:hAnsi="Cambria Math"/>
              </w:rPr>
            </m:ctrlPr>
          </m:sSubPr>
          <m:e>
            <m:r>
              <m:rPr>
                <m:sty m:val="p"/>
              </m:rPr>
              <m:t xml:space="preserve">C</m:t>
            </m:r>
            <m:ctrlPr>
              <w:rPr>
                <w:rFonts w:ascii="Cambria Math" w:hAnsi="Cambria Math"/>
              </w:rPr>
            </m:ctrlPr>
          </m:e>
          <m:sub>
            <m:r>
              <m:rPr>
                <m:sty m:val="p"/>
              </m:rPr>
              <m:t xml:space="preserve">iz</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ρ</m:t>
            </m:r>
            <m:ctrlPr>
              <w:rPr>
                <w:rFonts w:ascii="Cambria Math" w:hAnsi="Cambria Math"/>
              </w:rPr>
            </m:ctrlPr>
          </m:e>
          <m:sub>
            <m:r>
              <m:rPr>
                <m:sty m:val="p"/>
              </m:rPr>
              <m:t xml:space="preserve">i</m:t>
            </m:r>
            <m:ctrlPr>
              <w:rPr>
                <w:rFonts w:ascii="Cambria Math" w:hAnsi="Cambria Math"/>
              </w:rPr>
            </m:ctrlPr>
          </m:sub>
        </m:sSub>
        <m:sSub>
          <m:sSubPr>
            <m:ctrlPr>
              <w:rPr>
                <w:rFonts w:ascii="Cambria Math" w:hAnsi="Cambria Math"/>
              </w:rPr>
            </m:ctrlPr>
          </m:sSubPr>
          <m:e>
            <m:r>
              <m:rPr>
                <m:sty m:val="p"/>
              </m:rPr>
              <m:t xml:space="preserve">c</m:t>
            </m:r>
            <m:ctrlPr>
              <w:rPr>
                <w:rFonts w:ascii="Cambria Math" w:hAnsi="Cambria Math"/>
              </w:rPr>
            </m:ctrlPr>
          </m:e>
          <m:sub>
            <m:r>
              <m:rPr>
                <m:sty m:val="p"/>
              </m:rPr>
              <m:t xml:space="preserve">is</m:t>
            </m:r>
            <m:ctrlPr>
              <w:rPr>
                <w:rFonts w:ascii="Cambria Math" w:hAnsi="Cambria Math"/>
              </w:rPr>
            </m:ctrlPr>
          </m:sub>
        </m:sSub>
      </m:oMath>
      <w:r>
        <w:instrText xml:space="preserve">∑</w:instrText>
      </w:r>
      <m:oMath>
        <m:sSub>
          <m:sSubPr>
            <m:ctrlPr>
              <w:rPr>
                <w:rFonts w:ascii="Cambria Math" w:hAnsi="Cambria Math"/>
              </w:rPr>
            </m:ctrlPr>
          </m:sSubPr>
          <m:e>
            <m:r>
              <m:rPr>
                <m:sty m:val="p"/>
              </m:rPr>
              <m:t xml:space="preserve">A</m:t>
            </m:r>
            <m:ctrlPr>
              <w:rPr>
                <w:rFonts w:ascii="Cambria Math" w:hAnsi="Cambria Math"/>
              </w:rPr>
            </m:ctrlPr>
          </m:e>
          <m:sub>
            <m:r>
              <m:rPr>
                <m:sty m:val="p"/>
              </m:rPr>
              <m:t xml:space="preserve">i</m:t>
            </m:r>
            <m:ctrlPr>
              <w:rPr>
                <w:rFonts w:ascii="Cambria Math" w:hAnsi="Cambria Math"/>
              </w:rPr>
            </m:ctrlPr>
          </m:sub>
        </m:sSub>
      </m:oMath>
      <w:r>
        <w:fldChar w:fldCharType="end"/>
      </w:r>
    </w:p>
    <w:p>
      <w:pPr>
        <w:pStyle w:val="25"/>
        <w:ind w:firstLine="420"/>
        <w:rPr>
          <w:rFonts w:hint="default"/>
        </w:rPr>
      </w:pPr>
      <w:r>
        <w:t>式中，</w:t>
      </w:r>
    </w:p>
    <w:p>
      <w:pPr>
        <w:ind w:firstLine="420"/>
      </w:pPr>
      <m:oMath>
        <m:sSub>
          <m:sSubPr>
            <m:ctrlPr>
              <w:rPr>
                <w:rFonts w:ascii="Cambria Math" w:hAnsi="Cambria Math"/>
              </w:rPr>
            </m:ctrlPr>
          </m:sSubPr>
          <m:e>
            <m:r>
              <m:rPr/>
              <w:rPr>
                <w:rFonts w:ascii="Cambria Math" w:hAnsi="Cambria Math"/>
              </w:rPr>
              <m:t>G</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--为介质剪切模量；</w:t>
      </w:r>
    </w:p>
    <w:p>
      <w:pPr>
        <w:ind w:firstLine="420"/>
      </w:pPr>
      <w:r>
        <w:fldChar w:fldCharType="begin"/>
      </w:r>
      <w:r>
        <w:instrText xml:space="preserve">eq ∑</w:instrText>
      </w:r>
      <m:oMath>
        <m:sSub>
          <m:sSubPr>
            <m:ctrlPr>
              <w:rPr>
                <w:rFonts w:ascii="Cambria Math" w:hAnsi="Cambria Math"/>
              </w:rPr>
            </m:ctrlPr>
          </m:sSubPr>
          <m:e>
            <m:r>
              <m:rPr>
                <m:sty m:val="p"/>
              </m:rPr>
              <m:t xml:space="preserve">A</m:t>
            </m:r>
            <m:ctrlPr>
              <w:rPr>
                <w:rFonts w:ascii="Cambria Math" w:hAnsi="Cambria Math"/>
              </w:rPr>
            </m:ctrlPr>
          </m:e>
          <m:sub>
            <m:r>
              <m:rPr>
                <m:sty m:val="p"/>
              </m:rPr>
              <m:t xml:space="preserve">i</m:t>
            </m:r>
            <m:ctrlPr>
              <w:rPr>
                <w:rFonts w:ascii="Cambria Math" w:hAnsi="Cambria Math"/>
              </w:rPr>
            </m:ctrlPr>
          </m:sub>
        </m:sSub>
      </m:oMath>
      <w:r>
        <w:fldChar w:fldCharType="end"/>
      </w:r>
      <w:r>
        <w:t>--为人工边界节点i所代表的面积；</w:t>
      </w:r>
    </w:p>
    <w:p>
      <w:pPr>
        <w:ind w:firstLine="420"/>
      </w:pP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--为荷载作用点到人工边界节点i的距离；</w:t>
      </w:r>
    </w:p>
    <w:p>
      <w:pPr>
        <w:ind w:firstLine="420"/>
      </w:pPr>
      <m:oMath>
        <m:sSub>
          <m:sSubPr>
            <m:ctrlPr>
              <w:rPr>
                <w:rFonts w:ascii="Cambria Math" w:hAnsi="Cambria Math"/>
              </w:rPr>
            </m:ctrlPr>
          </m:sSubPr>
          <m:e>
            <m:r>
              <m:rPr/>
              <w:rPr>
                <w:rFonts w:ascii="Cambria Math" w:hAnsi="Cambria Math"/>
              </w:rPr>
              <m:t>ρ</m:t>
            </m:r>
            <m:ctrlPr>
              <w:rPr>
                <w:rFonts w:ascii="Cambria Math" w:hAnsi="Cambria Math"/>
              </w:rPr>
            </m:ctrlPr>
          </m:e>
          <m:sub>
            <m:r>
              <m:rPr/>
              <w:rPr>
                <w:rFonts w:ascii="Cambria Math" w:hAnsi="Cambria Math"/>
              </w:rPr>
              <m:t>i</m:t>
            </m:r>
            <m:ctrlPr>
              <w:rPr>
                <w:rFonts w:ascii="Cambria Math" w:hAnsi="Cambria Math"/>
              </w:rPr>
            </m:ctrlPr>
          </m:sub>
        </m:sSub>
      </m:oMath>
      <w:r>
        <w:fldChar w:fldCharType="begin"/>
      </w:r>
      <w:r>
        <w:instrText xml:space="preserve">eq</w:instrText>
      </w:r>
      <w:r>
        <w:fldChar w:fldCharType="end"/>
      </w:r>
      <w:r>
        <w:t>--为介质密度；</w:t>
      </w:r>
    </w:p>
    <w:p>
      <w:pPr>
        <w:ind w:firstLine="420"/>
      </w:pP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ip</m:t>
            </m:r>
            <m:ctrlPr>
              <w:rPr>
                <w:rFonts w:ascii="Cambria Math" w:hAnsi="Cambria Math"/>
              </w:rPr>
            </m:ctrlPr>
          </m:sub>
        </m:sSub>
      </m:oMath>
      <w:r>
        <w:fldChar w:fldCharType="begin"/>
      </w:r>
      <w:r>
        <w:instrText xml:space="preserve">eq</w:instrText>
      </w:r>
      <w:r>
        <w:fldChar w:fldCharType="end"/>
      </w:r>
      <w:r>
        <w:t>--压缩波波速；</w:t>
      </w:r>
    </w:p>
    <w:p>
      <w:pPr>
        <w:ind w:firstLine="420"/>
      </w:pP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is</m:t>
            </m:r>
            <m:ctrlPr>
              <w:rPr>
                <w:rFonts w:ascii="Cambria Math" w:hAnsi="Cambria Math"/>
              </w:rPr>
            </m:ctrlPr>
          </m:sub>
        </m:sSub>
      </m:oMath>
      <w:r>
        <w:fldChar w:fldCharType="begin"/>
      </w:r>
      <w:r>
        <w:instrText xml:space="preserve">eq</w:instrText>
      </w:r>
      <w:r>
        <w:fldChar w:fldCharType="end"/>
      </w:r>
      <w:r>
        <w:t>--剪切波波速；</w:t>
      </w:r>
    </w:p>
    <w:p>
      <w:pPr>
        <w:ind w:firstLine="420"/>
      </w:pP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x</m:t>
            </m:r>
            <m:ctrlPr>
              <w:rPr>
                <w:rFonts w:ascii="Cambria Math" w:hAnsi="Cambria Math"/>
              </w:rPr>
            </m:ctrlPr>
          </m:sub>
        </m:sSub>
      </m:oMath>
      <w:r>
        <w:fldChar w:fldCharType="begin"/>
      </w:r>
      <w:r>
        <w:instrText xml:space="preserve">eq</w:instrText>
      </w:r>
      <w:r>
        <w:fldChar w:fldCharType="end"/>
      </w:r>
      <w:r>
        <w:t>--x方向参数；</w:t>
      </w:r>
    </w:p>
    <w:p>
      <w:pPr>
        <w:ind w:firstLine="420"/>
      </w:pP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y</m:t>
            </m:r>
            <m:ctrlPr>
              <w:rPr>
                <w:rFonts w:ascii="Cambria Math" w:hAnsi="Cambria Math"/>
              </w:rPr>
            </m:ctrlPr>
          </m:sub>
        </m:sSub>
      </m:oMath>
      <w:r>
        <w:fldChar w:fldCharType="begin"/>
      </w:r>
      <w:r>
        <w:instrText xml:space="preserve">eq</w:instrText>
      </w:r>
      <w:r>
        <w:fldChar w:fldCharType="end"/>
      </w:r>
      <w:r>
        <w:t>--y方向参数；</w:t>
      </w:r>
    </w:p>
    <w:p>
      <w:pPr>
        <w:ind w:firstLine="420"/>
      </w:pP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z</m:t>
            </m:r>
            <m:ctrlPr>
              <w:rPr>
                <w:rFonts w:ascii="Cambria Math" w:hAnsi="Cambria Math"/>
              </w:rPr>
            </m:ctrlPr>
          </m:sub>
        </m:sSub>
      </m:oMath>
      <w:r>
        <w:fldChar w:fldCharType="begin"/>
      </w:r>
      <w:r>
        <w:instrText xml:space="preserve">eq</w:instrText>
      </w:r>
      <w:r>
        <w:fldChar w:fldCharType="end"/>
      </w:r>
      <w:r>
        <w:t>--z方向参数；</w:t>
      </w:r>
    </w:p>
    <w:p>
      <w:pPr>
        <w:pStyle w:val="25"/>
        <w:ind w:firstLine="420"/>
        <w:rPr>
          <w:rFonts w:hint="default"/>
        </w:rPr>
      </w:pPr>
      <w:r>
        <w:t>自由场边界通过在模型四周生成二维和一维网格的方法来实现这种自由场边界条件，主体网格的侧边界通过阻尼器与自由场网格进行耦合，自由场网格的不平衡力施加到主体网格的边界上。自由场边界提供了与无限场地相同的效果，因此向上的面波在边界上不会产生扭曲。</w:t>
      </w:r>
    </w:p>
    <w:p>
      <w:pPr>
        <w:ind w:firstLine="480" w:firstLineChars="200"/>
        <w:rPr>
          <w:rFonts w:ascii="Times New Roman" w:hAnsi="Times New Roman" w:cs="Times New Roman"/>
        </w:rPr>
      </w:pPr>
      <w:r>
        <w:rPr>
          <w:rFonts w:hint="eastAsia" w:ascii="宋体" w:hAnsi="宋体" w:eastAsia="宋体" w:cs="宋体"/>
          <w:sz w:val="24"/>
          <w:szCs w:val="24"/>
        </w:rPr>
        <w:t>关于地下结构动力分析土体网格尺寸，杜修力院士在《工程波动理论和方法》中指出：要模拟</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λ</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min</m:t>
            </m:r>
            <m:ctrlPr>
              <w:rPr>
                <w:rFonts w:hint="eastAsia" w:ascii="Cambria Math" w:hAnsi="Cambria Math" w:eastAsia="宋体" w:cs="宋体"/>
                <w:sz w:val="21"/>
                <w:szCs w:val="21"/>
              </w:rPr>
            </m:ctrlPr>
          </m:sub>
        </m:sSub>
      </m:oMath>
      <w:r>
        <w:rPr>
          <w:rFonts w:hint="eastAsia" w:ascii="宋体" w:hAnsi="宋体" w:eastAsia="宋体" w:cs="宋体"/>
          <w:sz w:val="24"/>
          <w:szCs w:val="24"/>
        </w:rPr>
        <w:t>长度内正弦函数一个完整周期的形状，直观判断也至少需要4个点且中间的两个点要不同相，也就是</w:t>
      </w:r>
      <m:oMath>
        <m:r>
          <m:rPr>
            <m:sty m:val="p"/>
          </m:rPr>
          <w:rPr>
            <w:rFonts w:hint="eastAsia" w:ascii="Cambria Math" w:hAnsi="Cambria Math" w:eastAsia="宋体" w:cs="宋体"/>
            <w:sz w:val="21"/>
            <w:szCs w:val="21"/>
          </w:rPr>
          <m:t>Δ</m:t>
        </m:r>
        <m:r>
          <m:rPr/>
          <w:rPr>
            <w:rFonts w:hint="eastAsia" w:ascii="Cambria Math" w:hAnsi="Cambria Math" w:eastAsia="宋体" w:cs="宋体"/>
            <w:sz w:val="21"/>
            <w:szCs w:val="21"/>
          </w:rPr>
          <m:t>x</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≤λ</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min</m:t>
            </m:r>
            <m:ctrlPr>
              <w:rPr>
                <w:rFonts w:hint="eastAsia" w:ascii="Cambria Math" w:hAnsi="Cambria Math" w:eastAsia="宋体" w:cs="宋体"/>
                <w:sz w:val="21"/>
                <w:szCs w:val="21"/>
              </w:rPr>
            </m:ctrlPr>
          </m:sub>
        </m:sSub>
        <m:r>
          <m:rPr/>
          <w:rPr>
            <w:rFonts w:hint="eastAsia" w:ascii="Cambria Math" w:hAnsi="Cambria Math" w:eastAsia="宋体" w:cs="宋体"/>
            <w:sz w:val="21"/>
            <w:szCs w:val="21"/>
          </w:rPr>
          <m:t>/4</m:t>
        </m:r>
      </m:oMath>
      <w:r>
        <w:rPr>
          <w:rFonts w:hint="eastAsia" w:ascii="宋体" w:hAnsi="宋体" w:eastAsia="宋体" w:cs="宋体"/>
          <w:sz w:val="24"/>
          <w:szCs w:val="24"/>
        </w:rPr>
        <w:t>是模拟波长为</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λ</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min</m:t>
            </m:r>
            <m:ctrlPr>
              <w:rPr>
                <w:rFonts w:hint="eastAsia" w:ascii="Cambria Math" w:hAnsi="Cambria Math" w:eastAsia="宋体" w:cs="宋体"/>
                <w:sz w:val="21"/>
                <w:szCs w:val="21"/>
              </w:rPr>
            </m:ctrlPr>
          </m:sub>
        </m:sSub>
      </m:oMath>
      <w:r>
        <w:rPr>
          <w:rFonts w:hint="eastAsia" w:ascii="宋体" w:hAnsi="宋体" w:eastAsia="宋体" w:cs="宋体"/>
          <w:sz w:val="24"/>
          <w:szCs w:val="24"/>
        </w:rPr>
        <w:t>的波动的一个完整周期变化的最低条件。对于一维波动问题，通过理论推导可以得到模拟波长为</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λ</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min</m:t>
            </m:r>
            <m:ctrlPr>
              <w:rPr>
                <w:rFonts w:hint="eastAsia" w:ascii="Cambria Math" w:hAnsi="Cambria Math" w:eastAsia="宋体" w:cs="宋体"/>
                <w:sz w:val="21"/>
                <w:szCs w:val="21"/>
              </w:rPr>
            </m:ctrlPr>
          </m:sub>
        </m:sSub>
      </m:oMath>
      <w:r>
        <w:rPr>
          <w:rFonts w:hint="eastAsia" w:ascii="宋体" w:hAnsi="宋体" w:eastAsia="宋体" w:cs="宋体"/>
          <w:sz w:val="24"/>
          <w:szCs w:val="24"/>
        </w:rPr>
        <w:t>的波动的一个完整周期变化的最低条件是</w:t>
      </w:r>
      <m:oMath>
        <m:r>
          <m:rPr>
            <m:sty m:val="p"/>
          </m:rPr>
          <w:rPr>
            <w:rFonts w:hint="eastAsia" w:ascii="Cambria Math" w:hAnsi="Cambria Math" w:eastAsia="宋体" w:cs="宋体"/>
            <w:sz w:val="21"/>
            <w:szCs w:val="21"/>
          </w:rPr>
          <m:t>Δ</m:t>
        </m:r>
        <m:r>
          <m:rPr/>
          <w:rPr>
            <w:rFonts w:hint="eastAsia" w:ascii="Cambria Math" w:hAnsi="Cambria Math" w:eastAsia="宋体" w:cs="宋体"/>
            <w:sz w:val="21"/>
            <w:szCs w:val="21"/>
          </w:rPr>
          <m:t>x</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≤λ</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min</m:t>
            </m:r>
            <m:ctrlPr>
              <w:rPr>
                <w:rFonts w:hint="eastAsia" w:ascii="Cambria Math" w:hAnsi="Cambria Math" w:eastAsia="宋体" w:cs="宋体"/>
                <w:sz w:val="21"/>
                <w:szCs w:val="21"/>
              </w:rPr>
            </m:ctrlPr>
          </m:sub>
        </m:sSub>
        <m:r>
          <m:rPr/>
          <w:rPr>
            <w:rFonts w:hint="eastAsia" w:ascii="Cambria Math" w:hAnsi="Cambria Math" w:eastAsia="宋体" w:cs="宋体"/>
            <w:sz w:val="21"/>
            <w:szCs w:val="21"/>
          </w:rPr>
          <m:t>/π</m:t>
        </m:r>
      </m:oMath>
      <w:r>
        <w:rPr>
          <w:rFonts w:hint="eastAsia" w:ascii="宋体" w:hAnsi="宋体" w:eastAsia="宋体" w:cs="宋体"/>
          <w:sz w:val="24"/>
          <w:szCs w:val="24"/>
        </w:rPr>
        <w:t>。众多研究者针对各种不同的波动情况研究了为保证数值模拟的足够精度确定</w:t>
      </w:r>
      <m:oMath>
        <m:r>
          <m:rPr>
            <m:sty m:val="p"/>
          </m:rPr>
          <w:rPr>
            <w:rFonts w:hint="eastAsia" w:ascii="Cambria Math" w:hAnsi="Cambria Math" w:eastAsia="宋体" w:cs="宋体"/>
            <w:sz w:val="21"/>
            <w:szCs w:val="21"/>
          </w:rPr>
          <m:t>Δ</m:t>
        </m:r>
        <m:r>
          <m:rPr/>
          <w:rPr>
            <w:rFonts w:hint="eastAsia" w:ascii="Cambria Math" w:hAnsi="Cambria Math" w:eastAsia="宋体" w:cs="宋体"/>
            <w:sz w:val="21"/>
            <w:szCs w:val="21"/>
          </w:rPr>
          <m:t>x</m:t>
        </m:r>
      </m:oMath>
      <w:r>
        <w:rPr>
          <w:rFonts w:hint="eastAsia" w:ascii="宋体" w:hAnsi="宋体" w:eastAsia="宋体" w:cs="宋体"/>
          <w:sz w:val="24"/>
          <w:szCs w:val="24"/>
        </w:rPr>
        <w:t>的经验准则，作者依据经验建议可取：</w:t>
      </w:r>
    </w:p>
    <w:p>
      <w:pPr>
        <w:jc w:val="center"/>
        <w:rPr>
          <w:rFonts w:ascii="Times New Roman" w:hAnsi="Times New Roman" w:cs="Times New Roman"/>
        </w:rPr>
      </w:pPr>
      <m:oMathPara>
        <m:oMath>
          <m:r>
            <m:rPr>
              <m:sty m:val="p"/>
            </m:rPr>
            <w:rPr>
              <w:rFonts w:ascii="Cambria Math" w:hAnsi="Cambria Math" w:cs="Times New Roman"/>
            </w:rPr>
            <m:t>Δ</m:t>
          </m:r>
          <m:r>
            <m:rPr/>
            <w:rPr>
              <w:rFonts w:ascii="Cambria Math" w:hAnsi="Cambria Math" w:cs="Times New Roman"/>
            </w:rPr>
            <m:t>x</m:t>
          </m:r>
          <m:sSub>
            <m:sSubPr>
              <m:ctrlPr>
                <w:rPr>
                  <w:rFonts w:ascii="Cambria Math" w:hAnsi="Cambria Math" w:cs="Times New Roman"/>
                </w:rPr>
              </m:ctrlPr>
            </m:sSubPr>
            <m:e>
              <m:r>
                <m:rPr/>
                <w:rPr>
                  <w:rFonts w:ascii="Cambria Math" w:hAnsi="Cambria Math" w:eastAsia="Cambria Math" w:cs="Times New Roman"/>
                </w:rPr>
                <m:t>≤</m:t>
              </m:r>
              <m:d>
                <m:dPr>
                  <m:ctrlPr>
                    <w:rPr>
                      <w:rFonts w:ascii="Cambria Math" w:hAnsi="Cambria Math" w:eastAsia="Cambria Math" w:cs="Times New Roman"/>
                      <w:i/>
                    </w:rPr>
                  </m:ctrlPr>
                </m:dPr>
                <m:e>
                  <m:f>
                    <m:fPr>
                      <m:ctrlPr>
                        <w:rPr>
                          <w:rFonts w:ascii="Cambria Math" w:hAnsi="Cambria Math" w:eastAsia="Cambria Math" w:cs="Times New Roman"/>
                          <w:i/>
                        </w:rPr>
                      </m:ctrlPr>
                    </m:fPr>
                    <m:num>
                      <m:r>
                        <m:rPr/>
                        <w:rPr>
                          <w:rFonts w:ascii="Cambria Math" w:hAnsi="Cambria Math" w:eastAsia="Cambria Math" w:cs="Times New Roman"/>
                        </w:rPr>
                        <m:t>1</m:t>
                      </m:r>
                      <m:ctrlPr>
                        <w:rPr>
                          <w:rFonts w:ascii="Cambria Math" w:hAnsi="Cambria Math" w:eastAsia="Cambria Math" w:cs="Times New Roman"/>
                          <w:i/>
                        </w:rPr>
                      </m:ctrlPr>
                    </m:num>
                    <m:den>
                      <m:r>
                        <m:rPr/>
                        <w:rPr>
                          <w:rFonts w:ascii="Cambria Math" w:hAnsi="Cambria Math" w:eastAsia="Cambria Math" w:cs="Times New Roman"/>
                        </w:rPr>
                        <m:t>6</m:t>
                      </m:r>
                      <m:ctrlPr>
                        <w:rPr>
                          <w:rFonts w:ascii="Cambria Math" w:hAnsi="Cambria Math" w:eastAsia="Cambria Math" w:cs="Times New Roman"/>
                          <w:i/>
                        </w:rPr>
                      </m:ctrlPr>
                    </m:den>
                  </m:f>
                  <m:r>
                    <m:rPr/>
                    <w:rPr>
                      <w:rFonts w:ascii="Cambria Math" w:hAnsi="Cambria Math" w:eastAsia="Cambria Math" w:cs="Times New Roman"/>
                    </w:rPr>
                    <m:t>~</m:t>
                  </m:r>
                  <m:f>
                    <m:fPr>
                      <m:ctrlPr>
                        <w:rPr>
                          <w:rFonts w:ascii="Cambria Math" w:hAnsi="Cambria Math" w:eastAsia="Cambria Math" w:cs="Times New Roman"/>
                          <w:i/>
                        </w:rPr>
                      </m:ctrlPr>
                    </m:fPr>
                    <m:num>
                      <m:r>
                        <m:rPr/>
                        <w:rPr>
                          <w:rFonts w:ascii="Cambria Math" w:hAnsi="Cambria Math" w:eastAsia="Cambria Math" w:cs="Times New Roman"/>
                        </w:rPr>
                        <m:t>1</m:t>
                      </m:r>
                      <m:ctrlPr>
                        <w:rPr>
                          <w:rFonts w:ascii="Cambria Math" w:hAnsi="Cambria Math" w:eastAsia="Cambria Math" w:cs="Times New Roman"/>
                          <w:i/>
                        </w:rPr>
                      </m:ctrlPr>
                    </m:num>
                    <m:den>
                      <m:r>
                        <m:rPr/>
                        <w:rPr>
                          <w:rFonts w:ascii="Cambria Math" w:hAnsi="Cambria Math" w:eastAsia="Cambria Math" w:cs="Times New Roman"/>
                        </w:rPr>
                        <m:t>8</m:t>
                      </m:r>
                      <m:ctrlPr>
                        <w:rPr>
                          <w:rFonts w:ascii="Cambria Math" w:hAnsi="Cambria Math" w:eastAsia="Cambria Math" w:cs="Times New Roman"/>
                          <w:i/>
                        </w:rPr>
                      </m:ctrlPr>
                    </m:den>
                  </m:f>
                  <m:ctrlPr>
                    <w:rPr>
                      <w:rFonts w:ascii="Cambria Math" w:hAnsi="Cambria Math" w:eastAsia="Cambria Math" w:cs="Times New Roman"/>
                      <w:i/>
                    </w:rPr>
                  </m:ctrlPr>
                </m:e>
              </m:d>
              <m:r>
                <m:rPr/>
                <w:rPr>
                  <w:rFonts w:ascii="Cambria Math" w:hAnsi="Cambria Math" w:cs="Times New Roman"/>
                </w:rPr>
                <m:t>λ</m:t>
              </m:r>
              <m:ctrlPr>
                <w:rPr>
                  <w:rFonts w:ascii="Cambria Math" w:hAnsi="Cambria Math" w:cs="Times New Roman"/>
                </w:rPr>
              </m:ctrlPr>
            </m:e>
            <m:sub>
              <m:r>
                <m:rPr/>
                <w:rPr>
                  <w:rFonts w:ascii="Cambria Math" w:hAnsi="Cambria Math" w:cs="Times New Roman"/>
                </w:rPr>
                <m:t>min</m:t>
              </m:r>
              <m:ctrlPr>
                <w:rPr>
                  <w:rFonts w:ascii="Cambria Math" w:hAnsi="Cambria Math" w:cs="Times New Roman"/>
                </w:rPr>
              </m:ctrlPr>
            </m:sub>
          </m:sSub>
        </m:oMath>
      </m:oMathPara>
    </w:p>
    <w:p>
      <w:pPr>
        <w:ind w:firstLine="420" w:firstLineChars="200"/>
        <w:rPr>
          <w:rFonts w:ascii="Times New Roman" w:hAnsi="Times New Roman" w:cs="Times New Roman"/>
        </w:rPr>
      </w:pPr>
      <m:oMathPara>
        <m:oMath>
          <m:sSub>
            <m:sSubPr>
              <m:ctrlPr>
                <w:rPr>
                  <w:rFonts w:ascii="Cambria Math" w:hAnsi="Cambria Math" w:cs="Times New Roman"/>
                </w:rPr>
              </m:ctrlPr>
            </m:sSubPr>
            <m:e>
              <m:r>
                <m:rPr/>
                <w:rPr>
                  <w:rFonts w:ascii="Cambria Math" w:hAnsi="Cambria Math" w:cs="Times New Roman"/>
                </w:rPr>
                <m:t>λ</m:t>
              </m:r>
              <m:ctrlPr>
                <w:rPr>
                  <w:rFonts w:ascii="Cambria Math" w:hAnsi="Cambria Math" w:cs="Times New Roman"/>
                </w:rPr>
              </m:ctrlPr>
            </m:e>
            <m:sub>
              <m:r>
                <m:rPr/>
                <w:rPr>
                  <w:rFonts w:ascii="Cambria Math" w:hAnsi="Cambria Math" w:cs="Times New Roman"/>
                </w:rPr>
                <m:t>min</m:t>
              </m:r>
              <m:ctrlPr>
                <w:rPr>
                  <w:rFonts w:ascii="Cambria Math" w:hAnsi="Cambria Math" w:cs="Times New Roman"/>
                </w:rPr>
              </m:ctrlPr>
            </m:sub>
          </m:sSub>
          <m:r>
            <m:rPr/>
            <w:rPr>
              <w:rFonts w:ascii="Cambria Math" w:hAnsi="Cambria Math" w:cs="Times New Roman"/>
            </w:rPr>
            <m:t>=c/</m:t>
          </m:r>
          <m:sSub>
            <m:sSubPr>
              <m:ctrlPr>
                <w:rPr>
                  <w:rFonts w:ascii="Cambria Math" w:hAnsi="Cambria Math" w:cs="Times New Roman"/>
                </w:rPr>
              </m:ctrlPr>
            </m:sSubPr>
            <m:e>
              <m:r>
                <m:rPr/>
                <w:rPr>
                  <w:rFonts w:ascii="Cambria Math" w:hAnsi="Cambria Math" w:cs="Times New Roman"/>
                </w:rPr>
                <m:t>f</m:t>
              </m:r>
              <m:ctrlPr>
                <w:rPr>
                  <w:rFonts w:ascii="Cambria Math" w:hAnsi="Cambria Math" w:cs="Times New Roman"/>
                </w:rPr>
              </m:ctrlPr>
            </m:e>
            <m:sub>
              <m:r>
                <m:rPr/>
                <w:rPr>
                  <w:rFonts w:ascii="Cambria Math" w:hAnsi="Cambria Math" w:cs="Times New Roman"/>
                </w:rPr>
                <m:t>min</m:t>
              </m:r>
              <m:ctrlPr>
                <w:rPr>
                  <w:rFonts w:ascii="Cambria Math" w:hAnsi="Cambria Math" w:cs="Times New Roman"/>
                </w:rPr>
              </m:ctrlPr>
            </m:sub>
          </m:sSub>
        </m:oMath>
      </m:oMathPara>
    </w:p>
    <w:p>
      <w:pPr>
        <w:rPr>
          <w:rFonts w:hint="eastAsia" w:ascii="宋体" w:hAnsi="宋体" w:eastAsia="宋体" w:cs="宋体"/>
          <w:sz w:val="24"/>
          <w:szCs w:val="24"/>
        </w:rPr>
      </w:pPr>
      <w:r>
        <w:rPr>
          <w:rFonts w:ascii="Times New Roman" w:hAnsi="Times New Roman" w:cs="Times New Roman"/>
        </w:rPr>
        <w:t>其</w:t>
      </w:r>
      <w:r>
        <w:rPr>
          <w:rFonts w:hint="eastAsia" w:ascii="宋体" w:hAnsi="宋体" w:eastAsia="宋体" w:cs="宋体"/>
          <w:sz w:val="24"/>
          <w:szCs w:val="24"/>
        </w:rPr>
        <w:t>中：</w:t>
      </w:r>
      <m:oMath>
        <m:r>
          <m:rPr>
            <m:sty m:val="p"/>
          </m:rPr>
          <w:rPr>
            <w:rFonts w:hint="eastAsia" w:ascii="Cambria Math" w:hAnsi="Cambria Math" w:eastAsia="宋体" w:cs="宋体"/>
            <w:sz w:val="21"/>
            <w:szCs w:val="21"/>
          </w:rPr>
          <m:t>Δ</m:t>
        </m:r>
        <m:r>
          <m:rPr/>
          <w:rPr>
            <w:rFonts w:hint="eastAsia" w:ascii="Cambria Math" w:hAnsi="Cambria Math" w:eastAsia="宋体" w:cs="宋体"/>
            <w:sz w:val="21"/>
            <w:szCs w:val="21"/>
          </w:rPr>
          <m:t>x</m:t>
        </m:r>
      </m:oMath>
      <w:r>
        <w:rPr>
          <w:rFonts w:hint="eastAsia" w:ascii="宋体" w:hAnsi="宋体" w:eastAsia="宋体" w:cs="宋体"/>
          <w:sz w:val="24"/>
          <w:szCs w:val="24"/>
        </w:rPr>
        <w:t>为网格尺寸；地震波</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λ</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min</m:t>
            </m:r>
            <m:ctrlPr>
              <w:rPr>
                <w:rFonts w:hint="eastAsia" w:ascii="Cambria Math" w:hAnsi="Cambria Math" w:eastAsia="宋体" w:cs="宋体"/>
                <w:sz w:val="21"/>
                <w:szCs w:val="21"/>
              </w:rPr>
            </m:ctrlPr>
          </m:sub>
        </m:sSub>
      </m:oMath>
      <w:r>
        <w:rPr>
          <w:rFonts w:hint="eastAsia" w:ascii="宋体" w:hAnsi="宋体" w:eastAsia="宋体" w:cs="宋体"/>
          <w:sz w:val="24"/>
          <w:szCs w:val="24"/>
        </w:rPr>
        <w:t>波长；</w:t>
      </w:r>
      <m:oMath>
        <m:r>
          <m:rPr/>
          <w:rPr>
            <w:rFonts w:hint="eastAsia" w:ascii="Cambria Math" w:hAnsi="Cambria Math" w:eastAsia="宋体" w:cs="宋体"/>
            <w:sz w:val="24"/>
            <w:szCs w:val="24"/>
          </w:rPr>
          <m:t>c</m:t>
        </m:r>
      </m:oMath>
      <w:r>
        <w:rPr>
          <w:rFonts w:hint="eastAsia" w:ascii="宋体" w:hAnsi="宋体" w:eastAsia="宋体" w:cs="宋体"/>
          <w:sz w:val="24"/>
          <w:szCs w:val="24"/>
        </w:rPr>
        <w:t>为土体剪切波速；</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f</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min</m:t>
            </m:r>
            <m:ctrlPr>
              <w:rPr>
                <w:rFonts w:hint="eastAsia" w:ascii="Cambria Math" w:hAnsi="Cambria Math" w:eastAsia="宋体" w:cs="宋体"/>
                <w:sz w:val="21"/>
                <w:szCs w:val="21"/>
              </w:rPr>
            </m:ctrlPr>
          </m:sub>
        </m:sSub>
      </m:oMath>
      <w:r>
        <w:rPr>
          <w:rFonts w:hint="eastAsia" w:ascii="宋体" w:hAnsi="宋体" w:eastAsia="宋体" w:cs="宋体"/>
          <w:sz w:val="24"/>
          <w:szCs w:val="24"/>
        </w:rPr>
        <w:t>为地震最高频率，约10Hz。</w:t>
      </w: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基于上述方法，《城市轨道交通结构抗震设计规范》(GB50909-2014) 6.9 条“隧道与地下车站结构地震反应计算的时程分析方法”条文说明指出：“6.9.1、6.9.2 采用动力分析时，由于直接输入地震波作用，因此应限制土层单元尺寸，通常竖向单元尺寸不大于1m即可满足要求。”</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规范中1m网格尺寸是根据较小剪切波速土体推算的偏于保守的下限值，具体工程问题中土体网格尺寸可以参考《工程波动理论和方法》网格取值方法具体确定每种土体的网格尺寸，避免较小网格尺寸计算量过大问题。</w:t>
      </w:r>
    </w:p>
    <w:p>
      <w:r>
        <w:br w:type="page"/>
      </w:r>
    </w:p>
    <w:p>
      <w:pPr>
        <w:pStyle w:val="2"/>
        <w:rPr>
          <w:rFonts w:hint="default"/>
        </w:rPr>
      </w:pPr>
      <w:bookmarkStart w:id="18" w:name="_Toc112924650"/>
      <w:r>
        <w:t>第4章 计算模型及荷载</w:t>
      </w:r>
      <w:bookmarkEnd w:id="18"/>
    </w:p>
    <w:p>
      <w:pPr>
        <w:pStyle w:val="3"/>
        <w:rPr>
          <w:rFonts w:hint="default"/>
        </w:rPr>
      </w:pPr>
      <w:bookmarkStart w:id="19" w:name="_Toc112924651"/>
      <w:r>
        <w:t>4.1 计算模型</w:t>
      </w:r>
      <w:bookmarkEnd w:id="19"/>
    </w:p>
    <w:p>
      <w:pPr>
        <w:pStyle w:val="4"/>
        <w:rPr>
          <w:rFonts w:hint="default"/>
        </w:rPr>
      </w:pPr>
      <w:bookmarkStart w:id="20" w:name="_Toc112924652"/>
      <w:r>
        <w:t>4.1.1 模型简图</w:t>
      </w:r>
      <w:bookmarkEnd w:id="20"/>
    </w:p>
    <w:p>
      <w:pPr>
        <w:pStyle w:val="5"/>
        <w:rPr>
          <w:rFonts w:hint="default"/>
        </w:rPr>
      </w:pPr>
      <w:r>
        <w:t>4.1.1.1 主体结构和土体节点模型</w:t>
      </w:r>
    </w:p>
    <w:p>
      <w:pPr>
        <w:pStyle w:val="25"/>
        <w:ind w:firstLine="420"/>
        <w:rPr>
          <w:rFonts w:hint="default"/>
        </w:rPr>
      </w:pPr>
      <w:r>
        <w:t>GFE主体结构和土体节点模型图如下图所示；</w:t>
      </w:r>
    </w:p>
    <w:p>
      <w:pPr>
        <w:pStyle w:val="25"/>
        <w:ind w:firstLine="420"/>
        <w:rPr>
          <w:rFonts w:hint="default"/>
        </w:rPr>
      </w:pPr>
      <w:r>
        <w:t>（该部分由用户截取!!!）</w:t>
      </w:r>
    </w:p>
    <w:p>
      <w:pPr>
        <w:pStyle w:val="25"/>
        <w:ind w:firstLine="420"/>
        <w:rPr>
          <w:rFonts w:hint="default"/>
        </w:rPr>
      </w:pPr>
    </w:p>
    <w:p>
      <w:pPr>
        <w:pStyle w:val="5"/>
        <w:rPr>
          <w:rFonts w:hint="default"/>
        </w:rPr>
      </w:pPr>
      <w:r>
        <w:t>4.1.1.2 土体结构剖面</w:t>
      </w:r>
    </w:p>
    <w:p>
      <w:pPr>
        <w:pStyle w:val="25"/>
        <w:ind w:firstLine="420"/>
        <w:rPr>
          <w:rFonts w:hint="default"/>
        </w:rPr>
      </w:pPr>
      <w:r>
        <w:t>土层结构剖面图如下图所示；</w:t>
      </w:r>
    </w:p>
    <w:p>
      <w:pPr>
        <w:pStyle w:val="25"/>
        <w:ind w:firstLine="420"/>
        <w:rPr>
          <w:rFonts w:hint="default"/>
        </w:rPr>
      </w:pPr>
      <w:r>
        <w:t>（该部分由用户截取!!!）</w:t>
      </w:r>
    </w:p>
    <w:p>
      <w:pPr>
        <w:pStyle w:val="25"/>
        <w:ind w:firstLine="420"/>
        <w:rPr>
          <w:rFonts w:hint="default"/>
        </w:rPr>
      </w:pPr>
    </w:p>
    <w:p>
      <w:pPr>
        <w:pStyle w:val="25"/>
        <w:ind w:firstLine="420"/>
        <w:rPr>
          <w:rFonts w:hint="default"/>
        </w:rPr>
      </w:pPr>
      <w:r>
        <w:t>模型尺寸、节点以及单元数信息如下所示（模型尺寸及土体网格划分满足规范要求）：</w:t>
      </w:r>
    </w:p>
    <w:p>
      <w:pPr>
        <w:pStyle w:val="26"/>
        <w:rPr>
          <w:rFonts w:hint="default"/>
        </w:rPr>
      </w:pPr>
      <w:r>
        <w:t>表4-1-1 模型参数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3"/>
        <w:gridCol w:w="3305"/>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588" w:type="dxa"/>
            <w:gridSpan w:val="2"/>
            <w:shd w:val="clear" w:color="auto" w:fill="FFFFFF"/>
            <w:vAlign w:val="center"/>
          </w:tcPr>
          <w:p>
            <w:pPr>
              <w:pStyle w:val="27"/>
              <w:jc w:val="center"/>
              <w:rPr>
                <w:rFonts w:hint="default"/>
              </w:rPr>
            </w:pPr>
            <w:bookmarkStart w:id="21" w:name="Table_ModelParam"/>
            <w:r>
              <w:t>信息类别</w:t>
            </w:r>
          </w:p>
        </w:tc>
        <w:tc>
          <w:tcPr>
            <w:tcW w:w="3313" w:type="dxa"/>
            <w:shd w:val="clear" w:color="auto" w:fill="FFFFFF"/>
            <w:vAlign w:val="center"/>
          </w:tcPr>
          <w:p>
            <w:pPr>
              <w:pStyle w:val="27"/>
              <w:jc w:val="center"/>
              <w:rPr>
                <w:rFonts w:hint="default"/>
              </w:rPr>
            </w:pP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588" w:type="dxa"/>
            <w:gridSpan w:val="2"/>
            <w:shd w:val="clear" w:color="auto" w:fill="FFFFFF"/>
            <w:vAlign w:val="center"/>
          </w:tcPr>
          <w:p>
            <w:pPr>
              <w:pStyle w:val="27"/>
              <w:jc w:val="center"/>
              <w:rPr>
                <w:rFonts w:hint="default"/>
              </w:rPr>
            </w:pPr>
            <w:r>
              <w:t>土层尺寸BxLxH</w:t>
            </w:r>
          </w:p>
        </w:tc>
        <w:tc>
          <w:tcPr>
            <w:tcW w:w="3313" w:type="dxa"/>
            <w:shd w:val="clear" w:color="auto" w:fill="FFFFFF"/>
            <w:vAlign w:val="center"/>
          </w:tcPr>
          <w:p>
            <w:pPr>
              <w:pStyle w:val="27"/>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588" w:type="dxa"/>
            <w:gridSpan w:val="2"/>
            <w:shd w:val="clear" w:color="auto" w:fill="FFFFFF"/>
            <w:vAlign w:val="center"/>
          </w:tcPr>
          <w:p>
            <w:pPr>
              <w:pStyle w:val="27"/>
              <w:jc w:val="center"/>
              <w:rPr>
                <w:rFonts w:hint="default"/>
              </w:rPr>
            </w:pPr>
            <w:r>
              <w:t>模型尺寸BxLxH</w:t>
            </w:r>
          </w:p>
        </w:tc>
        <w:tc>
          <w:tcPr>
            <w:tcW w:w="3313" w:type="dxa"/>
            <w:shd w:val="clear" w:color="auto" w:fill="FFFFFF"/>
            <w:vAlign w:val="center"/>
          </w:tcPr>
          <w:p>
            <w:pPr>
              <w:pStyle w:val="27"/>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3283" w:type="dxa"/>
            <w:shd w:val="clear" w:color="auto" w:fill="FFFFFF"/>
            <w:vAlign w:val="center"/>
          </w:tcPr>
          <w:p>
            <w:pPr>
              <w:pStyle w:val="27"/>
              <w:jc w:val="center"/>
              <w:rPr>
                <w:rFonts w:hint="default"/>
              </w:rPr>
            </w:pPr>
            <w:r>
              <w:t>节点数量</w:t>
            </w:r>
          </w:p>
        </w:tc>
        <w:tc>
          <w:tcPr>
            <w:tcW w:w="3305" w:type="dxa"/>
            <w:shd w:val="clear" w:color="auto" w:fill="FFFFFF"/>
            <w:vAlign w:val="center"/>
          </w:tcPr>
          <w:p>
            <w:pPr>
              <w:jc w:val="center"/>
              <w:rPr>
                <w:rFonts w:ascii="宋体" w:hAnsi="宋体" w:eastAsia="宋体" w:cs="宋体"/>
                <w:sz w:val="24"/>
                <w:szCs w:val="24"/>
              </w:rPr>
            </w:pPr>
          </w:p>
        </w:tc>
        <w:tc>
          <w:tcPr>
            <w:tcW w:w="3313" w:type="dxa"/>
            <w:shd w:val="clear" w:color="auto" w:fill="FFFFFF"/>
            <w:vAlign w:val="center"/>
          </w:tcPr>
          <w:p>
            <w:pPr>
              <w:pStyle w:val="27"/>
              <w:jc w:val="center"/>
              <w:rPr>
                <w:rFonts w:hint="default"/>
              </w:rPr>
            </w:pPr>
          </w:p>
        </w:tc>
      </w:tr>
      <w:bookmarkEnd w:id="21"/>
    </w:tbl>
    <w:p>
      <w:pPr>
        <w:pStyle w:val="25"/>
        <w:ind w:firstLine="420"/>
        <w:rPr>
          <w:rFonts w:hint="default"/>
        </w:rPr>
      </w:pPr>
      <w:r>
        <w:t>土层左右宽度xxxm，顶部土层厚度xxxm，底部土层厚度xxxm，满足《xxx》规范xxx条要求。</w:t>
      </w:r>
    </w:p>
    <w:p>
      <w:pPr>
        <w:pStyle w:val="25"/>
        <w:ind w:firstLine="420"/>
        <w:rPr>
          <w:rFonts w:hint="default"/>
        </w:rPr>
      </w:pPr>
      <w:r>
        <w:t>结构网格尺寸xxxm，土层网格尺寸xxxm，为土层S波长的1/5~1/10，满足规范《xxx》xxx条要求。</w:t>
      </w:r>
    </w:p>
    <w:p>
      <w:pPr>
        <w:pStyle w:val="3"/>
        <w:rPr>
          <w:rFonts w:hint="default"/>
        </w:rPr>
      </w:pPr>
      <w:bookmarkStart w:id="22" w:name="_Toc112924653"/>
      <w:r>
        <w:t>4.2 材料参数</w:t>
      </w:r>
      <w:bookmarkEnd w:id="22"/>
    </w:p>
    <w:p>
      <w:pPr>
        <w:pStyle w:val="4"/>
        <w:rPr>
          <w:rFonts w:hint="default"/>
        </w:rPr>
      </w:pPr>
      <w:bookmarkStart w:id="23" w:name="_Toc112924654"/>
      <w:r>
        <w:t>4.2.1 结构材料信息</w:t>
      </w:r>
      <w:bookmarkEnd w:id="23"/>
    </w:p>
    <w:p>
      <w:pPr>
        <w:pStyle w:val="5"/>
        <w:rPr>
          <w:rFonts w:hint="default"/>
        </w:rPr>
      </w:pPr>
      <w:r>
        <w:t>4.2.1.1 构件混凝土强度等级</w:t>
      </w:r>
    </w:p>
    <w:p>
      <w:pPr>
        <w:pStyle w:val="26"/>
        <w:rPr>
          <w:rFonts w:hint="default"/>
        </w:rPr>
      </w:pPr>
      <w:r>
        <w:t>构件混凝土强度等级表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649"/>
        <w:gridCol w:w="1651"/>
        <w:gridCol w:w="1651"/>
        <w:gridCol w:w="1649"/>
        <w:gridCol w:w="1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bookmarkStart w:id="24" w:name="Table_ConcreteMat"/>
            <w:r>
              <w:t>层号</w:t>
            </w:r>
          </w:p>
        </w:tc>
        <w:tc>
          <w:tcPr>
            <w:tcW w:w="1666" w:type="dxa"/>
            <w:shd w:val="clear" w:color="auto" w:fill="FFFFFF"/>
            <w:vAlign w:val="center"/>
          </w:tcPr>
          <w:p>
            <w:pPr>
              <w:pStyle w:val="27"/>
              <w:jc w:val="center"/>
              <w:rPr>
                <w:rFonts w:hint="default"/>
              </w:rPr>
            </w:pPr>
            <w:r>
              <w:t>塔号</w:t>
            </w:r>
          </w:p>
        </w:tc>
        <w:tc>
          <w:tcPr>
            <w:tcW w:w="1666" w:type="dxa"/>
            <w:shd w:val="clear" w:color="auto" w:fill="FFFFFF"/>
            <w:vAlign w:val="center"/>
          </w:tcPr>
          <w:p>
            <w:pPr>
              <w:pStyle w:val="27"/>
              <w:jc w:val="center"/>
              <w:rPr>
                <w:rFonts w:hint="default"/>
              </w:rPr>
            </w:pPr>
            <w:r>
              <w:t>梁</w:t>
            </w:r>
          </w:p>
        </w:tc>
        <w:tc>
          <w:tcPr>
            <w:tcW w:w="1666" w:type="dxa"/>
            <w:shd w:val="clear" w:color="auto" w:fill="FFFFFF"/>
            <w:vAlign w:val="center"/>
          </w:tcPr>
          <w:p>
            <w:pPr>
              <w:pStyle w:val="27"/>
              <w:jc w:val="center"/>
              <w:rPr>
                <w:rFonts w:hint="default"/>
              </w:rPr>
            </w:pPr>
            <w:r>
              <w:t>柱</w:t>
            </w:r>
          </w:p>
        </w:tc>
        <w:tc>
          <w:tcPr>
            <w:tcW w:w="1666" w:type="dxa"/>
            <w:shd w:val="clear" w:color="auto" w:fill="FFFFFF"/>
            <w:vAlign w:val="center"/>
          </w:tcPr>
          <w:p>
            <w:pPr>
              <w:pStyle w:val="27"/>
              <w:jc w:val="center"/>
              <w:rPr>
                <w:rFonts w:hint="default"/>
              </w:rPr>
            </w:pPr>
            <w:r>
              <w:t>斜杆</w:t>
            </w:r>
          </w:p>
        </w:tc>
        <w:tc>
          <w:tcPr>
            <w:tcW w:w="1666" w:type="dxa"/>
            <w:shd w:val="clear" w:color="auto" w:fill="FFFFFF"/>
            <w:vAlign w:val="center"/>
          </w:tcPr>
          <w:p>
            <w:pPr>
              <w:pStyle w:val="27"/>
              <w:jc w:val="center"/>
              <w:rPr>
                <w:rFonts w:hint="default"/>
              </w:rPr>
            </w:pPr>
            <w:r>
              <w:t>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r>
              <w:t>2</w:t>
            </w:r>
          </w:p>
        </w:tc>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C35</w:t>
            </w:r>
          </w:p>
        </w:tc>
        <w:tc>
          <w:tcPr>
            <w:tcW w:w="1666" w:type="dxa"/>
            <w:shd w:val="clear" w:color="auto" w:fill="FFFFFF"/>
            <w:vAlign w:val="center"/>
          </w:tcPr>
          <w:p>
            <w:pPr>
              <w:pStyle w:val="27"/>
              <w:jc w:val="center"/>
              <w:rPr>
                <w:rFonts w:hint="default"/>
              </w:rPr>
            </w:pPr>
            <w:r>
              <w:t>C50</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C35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C35</w:t>
            </w:r>
          </w:p>
        </w:tc>
        <w:tc>
          <w:tcPr>
            <w:tcW w:w="1666" w:type="dxa"/>
            <w:shd w:val="clear" w:color="auto" w:fill="FFFFFF"/>
            <w:vAlign w:val="center"/>
          </w:tcPr>
          <w:p>
            <w:pPr>
              <w:pStyle w:val="27"/>
              <w:jc w:val="center"/>
              <w:rPr>
                <w:rFonts w:hint="default"/>
              </w:rPr>
            </w:pPr>
            <w:r>
              <w:t>C50</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C35</w:t>
            </w:r>
          </w:p>
        </w:tc>
      </w:tr>
      <w:bookmarkEnd w:id="24"/>
    </w:tbl>
    <w:p>
      <w:pPr>
        <w:pStyle w:val="5"/>
        <w:rPr>
          <w:rFonts w:hint="default"/>
        </w:rPr>
      </w:pPr>
      <w:r>
        <w:t>4.2.1.2 构件钢筋强度等级</w:t>
      </w:r>
    </w:p>
    <w:p>
      <w:pPr>
        <w:pStyle w:val="26"/>
        <w:rPr>
          <w:rFonts w:hint="default"/>
        </w:rPr>
      </w:pPr>
      <w:r>
        <w:t>构件钢筋材料表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
        <w:gridCol w:w="442"/>
        <w:gridCol w:w="1022"/>
        <w:gridCol w:w="1023"/>
        <w:gridCol w:w="1023"/>
        <w:gridCol w:w="1023"/>
        <w:gridCol w:w="443"/>
        <w:gridCol w:w="443"/>
        <w:gridCol w:w="1023"/>
        <w:gridCol w:w="997"/>
        <w:gridCol w:w="997"/>
        <w:gridCol w:w="1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833" w:type="dxa"/>
            <w:vMerge w:val="restart"/>
            <w:shd w:val="clear" w:color="auto" w:fill="FFFFFF"/>
            <w:vAlign w:val="center"/>
          </w:tcPr>
          <w:p>
            <w:pPr>
              <w:pStyle w:val="27"/>
              <w:jc w:val="center"/>
              <w:rPr>
                <w:rFonts w:hint="default"/>
              </w:rPr>
            </w:pPr>
            <w:bookmarkStart w:id="25" w:name="Table_RebarMat"/>
            <w:r>
              <w:t>层号</w:t>
            </w:r>
          </w:p>
        </w:tc>
        <w:tc>
          <w:tcPr>
            <w:tcW w:w="833" w:type="dxa"/>
            <w:vMerge w:val="restart"/>
            <w:shd w:val="clear" w:color="auto" w:fill="FFFFFF"/>
            <w:vAlign w:val="center"/>
          </w:tcPr>
          <w:p>
            <w:pPr>
              <w:pStyle w:val="27"/>
              <w:jc w:val="center"/>
              <w:rPr>
                <w:rFonts w:hint="default"/>
              </w:rPr>
            </w:pPr>
            <w:r>
              <w:t>塔号</w:t>
            </w:r>
          </w:p>
        </w:tc>
        <w:tc>
          <w:tcPr>
            <w:tcW w:w="1666" w:type="dxa"/>
            <w:gridSpan w:val="2"/>
            <w:shd w:val="clear" w:color="auto" w:fill="FFFFFF"/>
            <w:vAlign w:val="center"/>
          </w:tcPr>
          <w:p>
            <w:pPr>
              <w:pStyle w:val="27"/>
              <w:jc w:val="center"/>
              <w:rPr>
                <w:rFonts w:hint="default"/>
              </w:rPr>
            </w:pPr>
            <w:r>
              <w:t>梁</w:t>
            </w:r>
          </w:p>
        </w:tc>
        <w:tc>
          <w:tcPr>
            <w:tcW w:w="1666" w:type="dxa"/>
            <w:gridSpan w:val="2"/>
            <w:shd w:val="clear" w:color="auto" w:fill="FFFFFF"/>
            <w:vAlign w:val="center"/>
          </w:tcPr>
          <w:p>
            <w:pPr>
              <w:pStyle w:val="27"/>
              <w:jc w:val="center"/>
              <w:rPr>
                <w:rFonts w:hint="default"/>
              </w:rPr>
            </w:pPr>
            <w:r>
              <w:t>柱</w:t>
            </w:r>
          </w:p>
        </w:tc>
        <w:tc>
          <w:tcPr>
            <w:tcW w:w="1666" w:type="dxa"/>
            <w:gridSpan w:val="2"/>
            <w:shd w:val="clear" w:color="auto" w:fill="FFFFFF"/>
            <w:vAlign w:val="center"/>
          </w:tcPr>
          <w:p>
            <w:pPr>
              <w:pStyle w:val="27"/>
              <w:jc w:val="center"/>
              <w:rPr>
                <w:rFonts w:hint="default"/>
              </w:rPr>
            </w:pPr>
            <w:r>
              <w:t>斜杆</w:t>
            </w:r>
          </w:p>
        </w:tc>
        <w:tc>
          <w:tcPr>
            <w:tcW w:w="1666" w:type="dxa"/>
            <w:gridSpan w:val="2"/>
            <w:shd w:val="clear" w:color="auto" w:fill="FFFFFF"/>
            <w:vAlign w:val="center"/>
          </w:tcPr>
          <w:p>
            <w:pPr>
              <w:pStyle w:val="27"/>
              <w:jc w:val="center"/>
              <w:rPr>
                <w:rFonts w:hint="default"/>
              </w:rPr>
            </w:pPr>
            <w:r>
              <w:t>边缘构件</w:t>
            </w:r>
          </w:p>
        </w:tc>
        <w:tc>
          <w:tcPr>
            <w:tcW w:w="1666" w:type="dxa"/>
            <w:gridSpan w:val="2"/>
            <w:shd w:val="clear" w:color="auto" w:fill="FFFFFF"/>
            <w:vAlign w:val="center"/>
          </w:tcPr>
          <w:p>
            <w:pPr>
              <w:pStyle w:val="27"/>
              <w:jc w:val="center"/>
              <w:rPr>
                <w:rFonts w:hint="default"/>
              </w:rPr>
            </w:pPr>
            <w:r>
              <w:t>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833" w:type="dxa"/>
            <w:vMerge w:val="continue"/>
            <w:shd w:val="clear" w:color="auto" w:fill="FFFFFF"/>
            <w:vAlign w:val="center"/>
          </w:tcPr>
          <w:p/>
        </w:tc>
        <w:tc>
          <w:tcPr>
            <w:tcW w:w="833" w:type="dxa"/>
            <w:vMerge w:val="continue"/>
            <w:shd w:val="clear" w:color="auto" w:fill="FFFFFF"/>
            <w:vAlign w:val="center"/>
          </w:tcPr>
          <w:p/>
        </w:tc>
        <w:tc>
          <w:tcPr>
            <w:tcW w:w="833" w:type="dxa"/>
            <w:shd w:val="clear" w:color="auto" w:fill="FFFFFF"/>
            <w:vAlign w:val="center"/>
          </w:tcPr>
          <w:p>
            <w:pPr>
              <w:pStyle w:val="27"/>
              <w:jc w:val="center"/>
              <w:rPr>
                <w:rFonts w:hint="default"/>
              </w:rPr>
            </w:pPr>
            <w:r>
              <w:t>纵筋</w:t>
            </w:r>
          </w:p>
        </w:tc>
        <w:tc>
          <w:tcPr>
            <w:tcW w:w="833" w:type="dxa"/>
            <w:shd w:val="clear" w:color="auto" w:fill="FFFFFF"/>
            <w:vAlign w:val="center"/>
          </w:tcPr>
          <w:p>
            <w:pPr>
              <w:pStyle w:val="27"/>
              <w:jc w:val="center"/>
              <w:rPr>
                <w:rFonts w:hint="default"/>
              </w:rPr>
            </w:pPr>
            <w:r>
              <w:t>箍筋</w:t>
            </w:r>
          </w:p>
        </w:tc>
        <w:tc>
          <w:tcPr>
            <w:tcW w:w="833" w:type="dxa"/>
            <w:shd w:val="clear" w:color="auto" w:fill="FFFFFF"/>
            <w:vAlign w:val="center"/>
          </w:tcPr>
          <w:p>
            <w:pPr>
              <w:pStyle w:val="27"/>
              <w:jc w:val="center"/>
              <w:rPr>
                <w:rFonts w:hint="default"/>
              </w:rPr>
            </w:pPr>
            <w:r>
              <w:t>纵筋</w:t>
            </w:r>
          </w:p>
        </w:tc>
        <w:tc>
          <w:tcPr>
            <w:tcW w:w="833" w:type="dxa"/>
            <w:shd w:val="clear" w:color="auto" w:fill="FFFFFF"/>
            <w:vAlign w:val="center"/>
          </w:tcPr>
          <w:p>
            <w:pPr>
              <w:pStyle w:val="27"/>
              <w:jc w:val="center"/>
              <w:rPr>
                <w:rFonts w:hint="default"/>
              </w:rPr>
            </w:pPr>
            <w:r>
              <w:t>箍筋</w:t>
            </w:r>
          </w:p>
        </w:tc>
        <w:tc>
          <w:tcPr>
            <w:tcW w:w="833" w:type="dxa"/>
            <w:shd w:val="clear" w:color="auto" w:fill="FFFFFF"/>
            <w:vAlign w:val="center"/>
          </w:tcPr>
          <w:p>
            <w:pPr>
              <w:pStyle w:val="27"/>
              <w:jc w:val="center"/>
              <w:rPr>
                <w:rFonts w:hint="default"/>
              </w:rPr>
            </w:pPr>
            <w:r>
              <w:t>纵筋</w:t>
            </w:r>
          </w:p>
        </w:tc>
        <w:tc>
          <w:tcPr>
            <w:tcW w:w="833" w:type="dxa"/>
            <w:shd w:val="clear" w:color="auto" w:fill="FFFFFF"/>
            <w:vAlign w:val="center"/>
          </w:tcPr>
          <w:p>
            <w:pPr>
              <w:pStyle w:val="27"/>
              <w:jc w:val="center"/>
              <w:rPr>
                <w:rFonts w:hint="default"/>
              </w:rPr>
            </w:pPr>
            <w:r>
              <w:t>箍筋</w:t>
            </w:r>
          </w:p>
        </w:tc>
        <w:tc>
          <w:tcPr>
            <w:tcW w:w="833" w:type="dxa"/>
            <w:shd w:val="clear" w:color="auto" w:fill="FFFFFF"/>
            <w:vAlign w:val="center"/>
          </w:tcPr>
          <w:p>
            <w:pPr>
              <w:pStyle w:val="27"/>
              <w:jc w:val="center"/>
              <w:rPr>
                <w:rFonts w:hint="default"/>
              </w:rPr>
            </w:pPr>
            <w:r>
              <w:t>纵筋</w:t>
            </w:r>
          </w:p>
        </w:tc>
        <w:tc>
          <w:tcPr>
            <w:tcW w:w="833" w:type="dxa"/>
            <w:shd w:val="clear" w:color="auto" w:fill="FFFFFF"/>
            <w:vAlign w:val="center"/>
          </w:tcPr>
          <w:p>
            <w:pPr>
              <w:pStyle w:val="27"/>
              <w:jc w:val="center"/>
              <w:rPr>
                <w:rFonts w:hint="default"/>
              </w:rPr>
            </w:pPr>
            <w:r>
              <w:t>箍筋</w:t>
            </w:r>
          </w:p>
        </w:tc>
        <w:tc>
          <w:tcPr>
            <w:tcW w:w="833" w:type="dxa"/>
            <w:shd w:val="clear" w:color="auto" w:fill="FFFFFF"/>
            <w:vAlign w:val="center"/>
          </w:tcPr>
          <w:p>
            <w:pPr>
              <w:pStyle w:val="27"/>
              <w:jc w:val="center"/>
              <w:rPr>
                <w:rFonts w:hint="default"/>
              </w:rPr>
            </w:pPr>
            <w:r>
              <w:t>水平分布筋</w:t>
            </w:r>
          </w:p>
        </w:tc>
        <w:tc>
          <w:tcPr>
            <w:tcW w:w="833" w:type="dxa"/>
            <w:shd w:val="clear" w:color="auto" w:fill="FFFFFF"/>
            <w:vAlign w:val="center"/>
          </w:tcPr>
          <w:p>
            <w:pPr>
              <w:pStyle w:val="27"/>
              <w:jc w:val="center"/>
              <w:rPr>
                <w:rFonts w:hint="default"/>
              </w:rPr>
            </w:pPr>
            <w:r>
              <w:t>竖向分布筋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833" w:type="dxa"/>
            <w:shd w:val="clear" w:color="auto" w:fill="FFFFFF"/>
            <w:vAlign w:val="center"/>
          </w:tcPr>
          <w:p>
            <w:pPr>
              <w:pStyle w:val="27"/>
              <w:jc w:val="center"/>
              <w:rPr>
                <w:rFonts w:hint="default"/>
              </w:rPr>
            </w:pPr>
            <w:r>
              <w:t>2</w:t>
            </w:r>
          </w:p>
        </w:tc>
        <w:tc>
          <w:tcPr>
            <w:tcW w:w="833" w:type="dxa"/>
            <w:shd w:val="clear" w:color="auto" w:fill="FFFFFF"/>
            <w:vAlign w:val="center"/>
          </w:tcPr>
          <w:p>
            <w:pPr>
              <w:pStyle w:val="27"/>
              <w:jc w:val="center"/>
              <w:rPr>
                <w:rFonts w:hint="default"/>
              </w:rPr>
            </w:pPr>
            <w:r>
              <w:t>1</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w:t>
            </w:r>
          </w:p>
        </w:tc>
        <w:tc>
          <w:tcPr>
            <w:tcW w:w="833" w:type="dxa"/>
            <w:shd w:val="clear" w:color="auto" w:fill="FFFFFF"/>
            <w:vAlign w:val="center"/>
          </w:tcPr>
          <w:p>
            <w:pPr>
              <w:pStyle w:val="27"/>
              <w:jc w:val="center"/>
              <w:rPr>
                <w:rFonts w:hint="default"/>
              </w:rPr>
            </w:pPr>
            <w:r>
              <w:t>/</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HPB300</w:t>
            </w:r>
          </w:p>
        </w:tc>
        <w:tc>
          <w:tcPr>
            <w:tcW w:w="833" w:type="dxa"/>
            <w:shd w:val="clear" w:color="auto" w:fill="FFFFFF"/>
            <w:vAlign w:val="center"/>
          </w:tcPr>
          <w:p>
            <w:pPr>
              <w:pStyle w:val="27"/>
              <w:jc w:val="center"/>
              <w:rPr>
                <w:rFonts w:hint="default"/>
              </w:rPr>
            </w:pPr>
            <w:r>
              <w:t>HPB300</w:t>
            </w:r>
          </w:p>
        </w:tc>
        <w:tc>
          <w:tcPr>
            <w:tcW w:w="833" w:type="dxa"/>
            <w:shd w:val="clear" w:color="auto" w:fill="FFFFFF"/>
            <w:vAlign w:val="center"/>
          </w:tcPr>
          <w:p>
            <w:pPr>
              <w:pStyle w:val="27"/>
              <w:jc w:val="center"/>
              <w:rPr>
                <w:rFonts w:hint="default"/>
              </w:rPr>
            </w:pPr>
            <w:r>
              <w:t>HRB335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833" w:type="dxa"/>
            <w:shd w:val="clear" w:color="auto" w:fill="FFFFFF"/>
            <w:vAlign w:val="center"/>
          </w:tcPr>
          <w:p>
            <w:pPr>
              <w:pStyle w:val="27"/>
              <w:jc w:val="center"/>
              <w:rPr>
                <w:rFonts w:hint="default"/>
              </w:rPr>
            </w:pPr>
            <w:r>
              <w:t>1</w:t>
            </w:r>
          </w:p>
        </w:tc>
        <w:tc>
          <w:tcPr>
            <w:tcW w:w="833" w:type="dxa"/>
            <w:shd w:val="clear" w:color="auto" w:fill="FFFFFF"/>
            <w:vAlign w:val="center"/>
          </w:tcPr>
          <w:p>
            <w:pPr>
              <w:pStyle w:val="27"/>
              <w:jc w:val="center"/>
              <w:rPr>
                <w:rFonts w:hint="default"/>
              </w:rPr>
            </w:pPr>
            <w:r>
              <w:t>1</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w:t>
            </w:r>
          </w:p>
        </w:tc>
        <w:tc>
          <w:tcPr>
            <w:tcW w:w="833" w:type="dxa"/>
            <w:shd w:val="clear" w:color="auto" w:fill="FFFFFF"/>
            <w:vAlign w:val="center"/>
          </w:tcPr>
          <w:p>
            <w:pPr>
              <w:pStyle w:val="27"/>
              <w:jc w:val="center"/>
              <w:rPr>
                <w:rFonts w:hint="default"/>
              </w:rPr>
            </w:pPr>
            <w:r>
              <w:t>/</w:t>
            </w:r>
          </w:p>
        </w:tc>
        <w:tc>
          <w:tcPr>
            <w:tcW w:w="833" w:type="dxa"/>
            <w:shd w:val="clear" w:color="auto" w:fill="FFFFFF"/>
            <w:vAlign w:val="center"/>
          </w:tcPr>
          <w:p>
            <w:pPr>
              <w:pStyle w:val="27"/>
              <w:jc w:val="center"/>
              <w:rPr>
                <w:rFonts w:hint="default"/>
              </w:rPr>
            </w:pPr>
            <w:r>
              <w:t>HRB400</w:t>
            </w:r>
          </w:p>
        </w:tc>
        <w:tc>
          <w:tcPr>
            <w:tcW w:w="833" w:type="dxa"/>
            <w:shd w:val="clear" w:color="auto" w:fill="FFFFFF"/>
            <w:vAlign w:val="center"/>
          </w:tcPr>
          <w:p>
            <w:pPr>
              <w:pStyle w:val="27"/>
              <w:jc w:val="center"/>
              <w:rPr>
                <w:rFonts w:hint="default"/>
              </w:rPr>
            </w:pPr>
            <w:r>
              <w:t>HPB300</w:t>
            </w:r>
          </w:p>
        </w:tc>
        <w:tc>
          <w:tcPr>
            <w:tcW w:w="833" w:type="dxa"/>
            <w:shd w:val="clear" w:color="auto" w:fill="FFFFFF"/>
            <w:vAlign w:val="center"/>
          </w:tcPr>
          <w:p>
            <w:pPr>
              <w:pStyle w:val="27"/>
              <w:jc w:val="center"/>
              <w:rPr>
                <w:rFonts w:hint="default"/>
              </w:rPr>
            </w:pPr>
            <w:r>
              <w:t>HPB300</w:t>
            </w:r>
          </w:p>
        </w:tc>
        <w:tc>
          <w:tcPr>
            <w:tcW w:w="833" w:type="dxa"/>
            <w:shd w:val="clear" w:color="auto" w:fill="FFFFFF"/>
            <w:vAlign w:val="center"/>
          </w:tcPr>
          <w:p>
            <w:pPr>
              <w:pStyle w:val="27"/>
              <w:jc w:val="center"/>
              <w:rPr>
                <w:rFonts w:hint="default"/>
              </w:rPr>
            </w:pPr>
            <w:r>
              <w:t>HRB335</w:t>
            </w:r>
          </w:p>
        </w:tc>
      </w:tr>
      <w:bookmarkEnd w:id="25"/>
    </w:tbl>
    <w:p>
      <w:pPr>
        <w:pStyle w:val="5"/>
        <w:rPr>
          <w:rFonts w:hint="default"/>
        </w:rPr>
      </w:pPr>
      <w:r>
        <w:t>4.2.1.3 构件钢材强度等级</w:t>
      </w:r>
    </w:p>
    <w:p>
      <w:pPr>
        <w:pStyle w:val="26"/>
        <w:rPr>
          <w:rFonts w:hint="default"/>
        </w:rPr>
      </w:pPr>
      <w:r>
        <w:t>构件钢材材料表</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1650"/>
        <w:gridCol w:w="1650"/>
        <w:gridCol w:w="1650"/>
        <w:gridCol w:w="1650"/>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bookmarkStart w:id="26" w:name="Table_SteelMat"/>
            <w:r>
              <w:t>层号</w:t>
            </w:r>
          </w:p>
        </w:tc>
        <w:tc>
          <w:tcPr>
            <w:tcW w:w="1666" w:type="dxa"/>
            <w:shd w:val="clear" w:color="auto" w:fill="FFFFFF"/>
            <w:vAlign w:val="center"/>
          </w:tcPr>
          <w:p>
            <w:pPr>
              <w:pStyle w:val="27"/>
              <w:jc w:val="center"/>
              <w:rPr>
                <w:rFonts w:hint="default"/>
              </w:rPr>
            </w:pPr>
            <w:r>
              <w:t>塔号</w:t>
            </w:r>
          </w:p>
        </w:tc>
        <w:tc>
          <w:tcPr>
            <w:tcW w:w="1666" w:type="dxa"/>
            <w:shd w:val="clear" w:color="auto" w:fill="FFFFFF"/>
            <w:vAlign w:val="center"/>
          </w:tcPr>
          <w:p>
            <w:pPr>
              <w:pStyle w:val="27"/>
              <w:jc w:val="center"/>
              <w:rPr>
                <w:rFonts w:hint="default"/>
              </w:rPr>
            </w:pPr>
            <w:r>
              <w:t>梁</w:t>
            </w:r>
          </w:p>
        </w:tc>
        <w:tc>
          <w:tcPr>
            <w:tcW w:w="1666" w:type="dxa"/>
            <w:shd w:val="clear" w:color="auto" w:fill="FFFFFF"/>
            <w:vAlign w:val="center"/>
          </w:tcPr>
          <w:p>
            <w:pPr>
              <w:pStyle w:val="27"/>
              <w:jc w:val="center"/>
              <w:rPr>
                <w:rFonts w:hint="default"/>
              </w:rPr>
            </w:pPr>
            <w:r>
              <w:t>柱</w:t>
            </w:r>
          </w:p>
        </w:tc>
        <w:tc>
          <w:tcPr>
            <w:tcW w:w="1666" w:type="dxa"/>
            <w:shd w:val="clear" w:color="auto" w:fill="FFFFFF"/>
            <w:vAlign w:val="center"/>
          </w:tcPr>
          <w:p>
            <w:pPr>
              <w:pStyle w:val="27"/>
              <w:jc w:val="center"/>
              <w:rPr>
                <w:rFonts w:hint="default"/>
              </w:rPr>
            </w:pPr>
            <w:r>
              <w:t>斜杆</w:t>
            </w:r>
          </w:p>
        </w:tc>
        <w:tc>
          <w:tcPr>
            <w:tcW w:w="1666" w:type="dxa"/>
            <w:shd w:val="clear" w:color="auto" w:fill="FFFFFF"/>
            <w:vAlign w:val="center"/>
          </w:tcPr>
          <w:p>
            <w:pPr>
              <w:pStyle w:val="27"/>
              <w:jc w:val="center"/>
              <w:rPr>
                <w:rFonts w:hint="default"/>
              </w:rPr>
            </w:pPr>
            <w:r>
              <w:t>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r>
              <w:t>2</w:t>
            </w:r>
          </w:p>
        </w:tc>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w:t>
            </w:r>
          </w:p>
        </w:tc>
        <w:tc>
          <w:tcPr>
            <w:tcW w:w="1666" w:type="dxa"/>
            <w:shd w:val="clear" w:color="auto" w:fill="FFFFFF"/>
            <w:vAlign w:val="center"/>
          </w:tcPr>
          <w:p>
            <w:pPr>
              <w:pStyle w:val="27"/>
              <w:jc w:val="center"/>
              <w:rPr>
                <w:rFonts w:hint="default"/>
              </w:rPr>
            </w:pPr>
            <w:r>
              <w:t>/</w:t>
            </w:r>
          </w:p>
        </w:tc>
      </w:tr>
      <w:bookmarkEnd w:id="26"/>
    </w:tbl>
    <w:p>
      <w:pPr>
        <w:pStyle w:val="5"/>
        <w:rPr>
          <w:rFonts w:hint="default"/>
        </w:rPr>
      </w:pPr>
      <w:r>
        <w:t>4.2.1.4 钢筋混凝土保护层厚度</w:t>
      </w:r>
    </w:p>
    <w:p>
      <w:pPr>
        <w:pStyle w:val="25"/>
        <w:ind w:firstLine="420"/>
        <w:rPr>
          <w:rFonts w:hint="default"/>
        </w:rPr>
      </w:pPr>
      <w:r>
        <w:t>钢筋混凝土保护层指的是结构最外层钢筋外缘值混凝土表面的距离，钢筋的混凝土保护层厚度不得小于钢筋的公称直径，且在一般环境下应符合下表的规定：</w:t>
      </w:r>
    </w:p>
    <w:p>
      <w:pPr>
        <w:pStyle w:val="26"/>
        <w:rPr>
          <w:rFonts w:hint="default"/>
        </w:rPr>
      </w:pPr>
      <w:r>
        <w:t>表4-2-1 构件保护层厚度</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1650"/>
        <w:gridCol w:w="1650"/>
        <w:gridCol w:w="1650"/>
        <w:gridCol w:w="1650"/>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bookmarkStart w:id="27" w:name="Table_ProtectThick"/>
            <w:r>
              <w:t>层号</w:t>
            </w:r>
          </w:p>
        </w:tc>
        <w:tc>
          <w:tcPr>
            <w:tcW w:w="1666" w:type="dxa"/>
            <w:shd w:val="clear" w:color="auto" w:fill="FFFFFF"/>
            <w:vAlign w:val="center"/>
          </w:tcPr>
          <w:p>
            <w:pPr>
              <w:pStyle w:val="27"/>
              <w:jc w:val="center"/>
              <w:rPr>
                <w:rFonts w:hint="default"/>
              </w:rPr>
            </w:pPr>
            <w:r>
              <w:t>塔号</w:t>
            </w:r>
          </w:p>
        </w:tc>
        <w:tc>
          <w:tcPr>
            <w:tcW w:w="1666" w:type="dxa"/>
            <w:shd w:val="clear" w:color="auto" w:fill="FFFFFF"/>
            <w:vAlign w:val="center"/>
          </w:tcPr>
          <w:p>
            <w:pPr>
              <w:pStyle w:val="27"/>
              <w:jc w:val="center"/>
              <w:rPr>
                <w:rFonts w:hint="default"/>
              </w:rPr>
            </w:pPr>
            <w:r>
              <w:t>梁</w:t>
            </w:r>
          </w:p>
        </w:tc>
        <w:tc>
          <w:tcPr>
            <w:tcW w:w="1666" w:type="dxa"/>
            <w:shd w:val="clear" w:color="auto" w:fill="FFFFFF"/>
            <w:vAlign w:val="center"/>
          </w:tcPr>
          <w:p>
            <w:pPr>
              <w:pStyle w:val="27"/>
              <w:jc w:val="center"/>
              <w:rPr>
                <w:rFonts w:hint="default"/>
              </w:rPr>
            </w:pPr>
            <w:r>
              <w:t>柱</w:t>
            </w:r>
          </w:p>
        </w:tc>
        <w:tc>
          <w:tcPr>
            <w:tcW w:w="1666" w:type="dxa"/>
            <w:shd w:val="clear" w:color="auto" w:fill="FFFFFF"/>
            <w:vAlign w:val="center"/>
          </w:tcPr>
          <w:p>
            <w:pPr>
              <w:pStyle w:val="27"/>
              <w:jc w:val="center"/>
              <w:rPr>
                <w:rFonts w:hint="default"/>
              </w:rPr>
            </w:pPr>
            <w:r>
              <w:t>墙</w:t>
            </w:r>
          </w:p>
        </w:tc>
        <w:tc>
          <w:tcPr>
            <w:tcW w:w="1666" w:type="dxa"/>
            <w:shd w:val="clear" w:color="auto" w:fill="FFFFFF"/>
            <w:vAlign w:val="center"/>
          </w:tcPr>
          <w:p>
            <w:pPr>
              <w:pStyle w:val="27"/>
              <w:jc w:val="center"/>
              <w:rPr>
                <w:rFonts w:hint="default"/>
              </w:rPr>
            </w:pPr>
            <w:r>
              <w:t>楼板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r>
              <w:t>2</w:t>
            </w:r>
          </w:p>
        </w:tc>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20</w:t>
            </w:r>
          </w:p>
        </w:tc>
        <w:tc>
          <w:tcPr>
            <w:tcW w:w="1666" w:type="dxa"/>
            <w:shd w:val="clear" w:color="auto" w:fill="FFFFFF"/>
            <w:vAlign w:val="center"/>
          </w:tcPr>
          <w:p>
            <w:pPr>
              <w:pStyle w:val="27"/>
              <w:jc w:val="center"/>
              <w:rPr>
                <w:rFonts w:hint="default"/>
              </w:rPr>
            </w:pPr>
            <w:r>
              <w:t>20</w:t>
            </w:r>
          </w:p>
        </w:tc>
        <w:tc>
          <w:tcPr>
            <w:tcW w:w="1666" w:type="dxa"/>
            <w:shd w:val="clear" w:color="auto" w:fill="FFFFFF"/>
            <w:vAlign w:val="center"/>
          </w:tcPr>
          <w:p>
            <w:pPr>
              <w:pStyle w:val="27"/>
              <w:jc w:val="center"/>
              <w:rPr>
                <w:rFonts w:hint="default"/>
              </w:rPr>
            </w:pPr>
            <w:r>
              <w:t>35</w:t>
            </w:r>
          </w:p>
        </w:tc>
        <w:tc>
          <w:tcPr>
            <w:tcW w:w="1666" w:type="dxa"/>
            <w:shd w:val="clear" w:color="auto" w:fill="FFFFFF"/>
            <w:vAlign w:val="center"/>
          </w:tcPr>
          <w:p>
            <w:pPr>
              <w:pStyle w:val="27"/>
              <w:jc w:val="center"/>
              <w:rPr>
                <w:rFonts w:hint="default"/>
              </w:rPr>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1</w:t>
            </w:r>
          </w:p>
        </w:tc>
        <w:tc>
          <w:tcPr>
            <w:tcW w:w="1666" w:type="dxa"/>
            <w:shd w:val="clear" w:color="auto" w:fill="FFFFFF"/>
            <w:vAlign w:val="center"/>
          </w:tcPr>
          <w:p>
            <w:pPr>
              <w:pStyle w:val="27"/>
              <w:jc w:val="center"/>
              <w:rPr>
                <w:rFonts w:hint="default"/>
              </w:rPr>
            </w:pPr>
            <w:r>
              <w:t>20</w:t>
            </w:r>
          </w:p>
        </w:tc>
        <w:tc>
          <w:tcPr>
            <w:tcW w:w="1666" w:type="dxa"/>
            <w:shd w:val="clear" w:color="auto" w:fill="FFFFFF"/>
            <w:vAlign w:val="center"/>
          </w:tcPr>
          <w:p>
            <w:pPr>
              <w:pStyle w:val="27"/>
              <w:jc w:val="center"/>
              <w:rPr>
                <w:rFonts w:hint="default"/>
              </w:rPr>
            </w:pPr>
            <w:r>
              <w:t>20</w:t>
            </w:r>
          </w:p>
        </w:tc>
        <w:tc>
          <w:tcPr>
            <w:tcW w:w="1666" w:type="dxa"/>
            <w:shd w:val="clear" w:color="auto" w:fill="FFFFFF"/>
            <w:vAlign w:val="center"/>
          </w:tcPr>
          <w:p>
            <w:pPr>
              <w:pStyle w:val="27"/>
              <w:jc w:val="center"/>
              <w:rPr>
                <w:rFonts w:hint="default"/>
              </w:rPr>
            </w:pPr>
            <w:r>
              <w:t>35</w:t>
            </w:r>
          </w:p>
        </w:tc>
        <w:tc>
          <w:tcPr>
            <w:tcW w:w="1666" w:type="dxa"/>
            <w:shd w:val="clear" w:color="auto" w:fill="FFFFFF"/>
            <w:vAlign w:val="center"/>
          </w:tcPr>
          <w:p>
            <w:pPr>
              <w:pStyle w:val="27"/>
              <w:jc w:val="center"/>
              <w:rPr>
                <w:rFonts w:hint="default"/>
              </w:rPr>
            </w:pPr>
            <w:r>
              <w:t>15</w:t>
            </w:r>
          </w:p>
        </w:tc>
      </w:tr>
      <w:bookmarkEnd w:id="27"/>
    </w:tbl>
    <w:p>
      <w:pPr>
        <w:pStyle w:val="4"/>
      </w:pPr>
      <w:bookmarkStart w:id="28" w:name="_Toc112924655"/>
    </w:p>
    <w:p>
      <w:pPr>
        <w:pStyle w:val="4"/>
      </w:pPr>
      <w:r>
        <w:t>4.2.2 土动参数信息</w:t>
      </w:r>
      <w:bookmarkEnd w:id="28"/>
    </w:p>
    <w:p>
      <w:pPr>
        <w:rPr>
          <w:rFonts w:hint="default" w:eastAsia="宋体"/>
          <w:sz w:val="24"/>
          <w:szCs w:val="24"/>
          <w:lang w:val="en-US" w:eastAsia="zh-CN"/>
        </w:rPr>
      </w:pPr>
      <w:bookmarkStart w:id="29" w:name="DBS0_Table_SoilDyna_MatParam"/>
      <w:bookmarkEnd w:id="29"/>
    </w:p>
    <w:p>
      <w:pPr>
        <w:pStyle w:val="26"/>
        <w:jc w:val="both"/>
        <w:rPr>
          <w:b w:val="0"/>
          <w:bCs/>
        </w:rPr>
      </w:pPr>
      <w:bookmarkStart w:id="30" w:name="DBS0_Table_SoilDyna_SoilInfo"/>
      <w:bookmarkEnd w:id="30"/>
    </w:p>
    <w:p>
      <w:pPr>
        <w:pStyle w:val="26"/>
        <w:jc w:val="both"/>
      </w:pPr>
    </w:p>
    <w:p>
      <w:pPr>
        <w:pStyle w:val="3"/>
        <w:rPr>
          <w:rFonts w:hint="default"/>
        </w:rPr>
      </w:pPr>
      <w:bookmarkStart w:id="31" w:name="_Toc112924656"/>
      <w:r>
        <w:t>4.3 荷载分类</w:t>
      </w:r>
      <w:bookmarkEnd w:id="31"/>
    </w:p>
    <w:p>
      <w:pPr>
        <w:pStyle w:val="25"/>
        <w:ind w:firstLine="420"/>
        <w:rPr>
          <w:rFonts w:hint="default"/>
        </w:rPr>
      </w:pPr>
      <w:r>
        <w:t>根据《地铁设计规范》（GB 50157-2013），按永久荷载、可变荷载、偶然荷载（地震作用、人防荷载）进行分类，对结构整体或构件可能出现的最不利组合进行计算。在决定荷载的数值时，考虑施工和使用过程中发生的变化。车站结构计算时考虑荷载如下表所示：</w:t>
      </w:r>
    </w:p>
    <w:p>
      <w:pPr>
        <w:pStyle w:val="26"/>
        <w:rPr>
          <w:rFonts w:hint="default"/>
        </w:rPr>
      </w:pPr>
      <w:r>
        <w:t>表4-3-1 荷载分类</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9"/>
        <w:gridCol w:w="3299"/>
        <w:gridCol w:w="3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shd w:val="clear" w:color="auto" w:fill="FFFFFF"/>
            <w:vAlign w:val="center"/>
          </w:tcPr>
          <w:p>
            <w:pPr>
              <w:pStyle w:val="27"/>
              <w:jc w:val="center"/>
              <w:rPr>
                <w:rFonts w:hint="default"/>
              </w:rPr>
            </w:pPr>
            <w:r>
              <w:t>荷载类型</w:t>
            </w:r>
          </w:p>
        </w:tc>
        <w:tc>
          <w:tcPr>
            <w:tcW w:w="3332" w:type="dxa"/>
            <w:shd w:val="clear" w:color="auto" w:fill="FFFFFF"/>
            <w:vAlign w:val="center"/>
          </w:tcPr>
          <w:p>
            <w:pPr>
              <w:pStyle w:val="27"/>
              <w:jc w:val="center"/>
              <w:rPr>
                <w:rFonts w:hint="default"/>
              </w:rPr>
            </w:pPr>
            <w:r>
              <w:t>荷载名称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restart"/>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结构自重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地层压力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结构上部和破坏棱体范围内的设施及建筑物压力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水压力及浮力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混凝土收缩及徐变影响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预压应力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设备重量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永久荷载</w:t>
            </w:r>
          </w:p>
        </w:tc>
        <w:tc>
          <w:tcPr>
            <w:tcW w:w="3332" w:type="dxa"/>
            <w:shd w:val="clear" w:color="auto" w:fill="FFFFFF"/>
            <w:vAlign w:val="center"/>
          </w:tcPr>
          <w:p>
            <w:pPr>
              <w:pStyle w:val="27"/>
              <w:jc w:val="center"/>
              <w:rPr>
                <w:rFonts w:hint="default"/>
              </w:rPr>
            </w:pPr>
            <w:r>
              <w:t>地基下沉影响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3332" w:type="dxa"/>
            <w:vMerge w:val="restart"/>
            <w:shd w:val="clear" w:color="auto" w:fill="FFFFFF"/>
            <w:vAlign w:val="center"/>
          </w:tcPr>
          <w:p>
            <w:pPr>
              <w:pStyle w:val="27"/>
              <w:jc w:val="center"/>
              <w:rPr>
                <w:rFonts w:hint="default"/>
              </w:rPr>
            </w:pPr>
            <w:r>
              <w:t>可变荷载</w:t>
            </w:r>
          </w:p>
        </w:tc>
        <w:tc>
          <w:tcPr>
            <w:tcW w:w="3332" w:type="dxa"/>
            <w:vMerge w:val="restart"/>
            <w:shd w:val="clear" w:color="auto" w:fill="FFFFFF"/>
            <w:vAlign w:val="center"/>
          </w:tcPr>
          <w:p>
            <w:pPr>
              <w:pStyle w:val="27"/>
              <w:jc w:val="center"/>
              <w:rPr>
                <w:rFonts w:hint="default"/>
              </w:rPr>
            </w:pPr>
            <w:r>
              <w:t>基本可变荷载</w:t>
            </w:r>
          </w:p>
        </w:tc>
        <w:tc>
          <w:tcPr>
            <w:tcW w:w="3332" w:type="dxa"/>
            <w:shd w:val="clear" w:color="auto" w:fill="FFFFFF"/>
            <w:vAlign w:val="center"/>
          </w:tcPr>
          <w:p>
            <w:pPr>
              <w:pStyle w:val="27"/>
              <w:jc w:val="center"/>
              <w:rPr>
                <w:rFonts w:hint="default"/>
              </w:rPr>
            </w:pPr>
            <w:r>
              <w:t>地面车辆荷载及其动力作用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3332" w:type="dxa"/>
            <w:vMerge w:val="continue"/>
            <w:shd w:val="clear" w:color="auto" w:fill="FFFFFF"/>
            <w:vAlign w:val="center"/>
          </w:tcPr>
          <w:p>
            <w:pPr>
              <w:pStyle w:val="27"/>
              <w:jc w:val="center"/>
              <w:rPr>
                <w:rFonts w:hint="default"/>
              </w:rPr>
            </w:pPr>
            <w:r>
              <w:t>永久荷载</w:t>
            </w:r>
          </w:p>
        </w:tc>
        <w:tc>
          <w:tcPr>
            <w:tcW w:w="3332" w:type="dxa"/>
            <w:vMerge w:val="continue"/>
            <w:shd w:val="clear" w:color="auto" w:fill="FFFFFF"/>
            <w:vAlign w:val="center"/>
          </w:tcPr>
          <w:p>
            <w:pPr>
              <w:pStyle w:val="27"/>
              <w:jc w:val="center"/>
              <w:rPr>
                <w:rFonts w:hint="default"/>
              </w:rPr>
            </w:pPr>
            <w:r>
              <w:t>基本可变荷载</w:t>
            </w:r>
          </w:p>
        </w:tc>
        <w:tc>
          <w:tcPr>
            <w:tcW w:w="3332" w:type="dxa"/>
            <w:shd w:val="clear" w:color="auto" w:fill="FFFFFF"/>
            <w:vAlign w:val="center"/>
          </w:tcPr>
          <w:p>
            <w:pPr>
              <w:pStyle w:val="27"/>
              <w:jc w:val="center"/>
              <w:rPr>
                <w:rFonts w:hint="default"/>
              </w:rPr>
            </w:pPr>
            <w:r>
              <w:t>地面车辆荷载引起的侧向土压力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3332" w:type="dxa"/>
            <w:vMerge w:val="continue"/>
            <w:shd w:val="clear" w:color="auto" w:fill="FFFFFF"/>
            <w:vAlign w:val="center"/>
          </w:tcPr>
          <w:p>
            <w:pPr>
              <w:pStyle w:val="27"/>
              <w:jc w:val="center"/>
              <w:rPr>
                <w:rFonts w:hint="default"/>
              </w:rPr>
            </w:pPr>
            <w:r>
              <w:t>永久荷载</w:t>
            </w:r>
          </w:p>
        </w:tc>
        <w:tc>
          <w:tcPr>
            <w:tcW w:w="3332" w:type="dxa"/>
            <w:vMerge w:val="continue"/>
            <w:shd w:val="clear" w:color="auto" w:fill="FFFFFF"/>
            <w:vAlign w:val="center"/>
          </w:tcPr>
          <w:p>
            <w:pPr>
              <w:pStyle w:val="27"/>
              <w:jc w:val="center"/>
              <w:rPr>
                <w:rFonts w:hint="default"/>
              </w:rPr>
            </w:pPr>
            <w:r>
              <w:t>基本可变荷载</w:t>
            </w:r>
          </w:p>
        </w:tc>
        <w:tc>
          <w:tcPr>
            <w:tcW w:w="3332" w:type="dxa"/>
            <w:shd w:val="clear" w:color="auto" w:fill="FFFFFF"/>
            <w:vAlign w:val="center"/>
          </w:tcPr>
          <w:p>
            <w:pPr>
              <w:pStyle w:val="27"/>
              <w:jc w:val="center"/>
              <w:rPr>
                <w:rFonts w:hint="default"/>
              </w:rPr>
            </w:pPr>
            <w:r>
              <w:t>地面车辆荷载及其动力荷载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3332" w:type="dxa"/>
            <w:vMerge w:val="continue"/>
            <w:shd w:val="clear" w:color="auto" w:fill="FFFFFF"/>
            <w:vAlign w:val="center"/>
          </w:tcPr>
          <w:p>
            <w:pPr>
              <w:pStyle w:val="27"/>
              <w:jc w:val="center"/>
              <w:rPr>
                <w:rFonts w:hint="default"/>
              </w:rPr>
            </w:pPr>
            <w:r>
              <w:t>永久荷载</w:t>
            </w:r>
          </w:p>
        </w:tc>
        <w:tc>
          <w:tcPr>
            <w:tcW w:w="3332" w:type="dxa"/>
            <w:vMerge w:val="continue"/>
            <w:shd w:val="clear" w:color="auto" w:fill="FFFFFF"/>
            <w:vAlign w:val="center"/>
          </w:tcPr>
          <w:p>
            <w:pPr>
              <w:pStyle w:val="27"/>
              <w:jc w:val="center"/>
              <w:rPr>
                <w:rFonts w:hint="default"/>
              </w:rPr>
            </w:pPr>
            <w:r>
              <w:t>基本可变荷载</w:t>
            </w:r>
          </w:p>
        </w:tc>
        <w:tc>
          <w:tcPr>
            <w:tcW w:w="3332" w:type="dxa"/>
            <w:shd w:val="clear" w:color="auto" w:fill="FFFFFF"/>
            <w:vAlign w:val="center"/>
          </w:tcPr>
          <w:p>
            <w:pPr>
              <w:pStyle w:val="27"/>
              <w:jc w:val="center"/>
              <w:rPr>
                <w:rFonts w:hint="default"/>
              </w:rPr>
            </w:pPr>
            <w:r>
              <w:t>人群荷载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3332" w:type="dxa"/>
            <w:vMerge w:val="continue"/>
            <w:shd w:val="clear" w:color="auto" w:fill="FFFFFF"/>
            <w:vAlign w:val="center"/>
          </w:tcPr>
          <w:p>
            <w:pPr>
              <w:pStyle w:val="27"/>
              <w:jc w:val="center"/>
              <w:rPr>
                <w:rFonts w:hint="default"/>
              </w:rPr>
            </w:pPr>
            <w:r>
              <w:t>永久荷载</w:t>
            </w:r>
          </w:p>
        </w:tc>
        <w:tc>
          <w:tcPr>
            <w:tcW w:w="3332" w:type="dxa"/>
            <w:vMerge w:val="restart"/>
            <w:shd w:val="clear" w:color="auto" w:fill="FFFFFF"/>
            <w:vAlign w:val="center"/>
          </w:tcPr>
          <w:p>
            <w:pPr>
              <w:pStyle w:val="27"/>
              <w:jc w:val="center"/>
              <w:rPr>
                <w:rFonts w:hint="default"/>
              </w:rPr>
            </w:pPr>
            <w:r>
              <w:t>其他可变荷载</w:t>
            </w:r>
          </w:p>
        </w:tc>
        <w:tc>
          <w:tcPr>
            <w:tcW w:w="3332" w:type="dxa"/>
            <w:shd w:val="clear" w:color="auto" w:fill="FFFFFF"/>
            <w:vAlign w:val="center"/>
          </w:tcPr>
          <w:p>
            <w:pPr>
              <w:pStyle w:val="27"/>
              <w:jc w:val="center"/>
              <w:rPr>
                <w:rFonts w:hint="default"/>
              </w:rPr>
            </w:pPr>
            <w:r>
              <w:t>温度变化影响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3332" w:type="dxa"/>
            <w:vMerge w:val="continue"/>
            <w:shd w:val="clear" w:color="auto" w:fill="FFFFFF"/>
            <w:vAlign w:val="center"/>
          </w:tcPr>
          <w:p>
            <w:pPr>
              <w:pStyle w:val="27"/>
              <w:jc w:val="center"/>
              <w:rPr>
                <w:rFonts w:hint="default"/>
              </w:rPr>
            </w:pPr>
            <w:r>
              <w:t>永久荷载</w:t>
            </w:r>
          </w:p>
        </w:tc>
        <w:tc>
          <w:tcPr>
            <w:tcW w:w="3332" w:type="dxa"/>
            <w:vMerge w:val="continue"/>
            <w:shd w:val="clear" w:color="auto" w:fill="FFFFFF"/>
            <w:vAlign w:val="center"/>
          </w:tcPr>
          <w:p>
            <w:pPr>
              <w:pStyle w:val="27"/>
              <w:jc w:val="center"/>
              <w:rPr>
                <w:rFonts w:hint="default"/>
              </w:rPr>
            </w:pPr>
            <w:r>
              <w:t>其他可变荷载</w:t>
            </w:r>
          </w:p>
        </w:tc>
        <w:tc>
          <w:tcPr>
            <w:tcW w:w="3332" w:type="dxa"/>
            <w:shd w:val="clear" w:color="auto" w:fill="FFFFFF"/>
            <w:vAlign w:val="center"/>
          </w:tcPr>
          <w:p>
            <w:pPr>
              <w:pStyle w:val="27"/>
              <w:jc w:val="center"/>
              <w:rPr>
                <w:rFonts w:hint="default"/>
              </w:rPr>
            </w:pPr>
            <w:r>
              <w:t>施工荷载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restart"/>
            <w:shd w:val="clear" w:color="auto" w:fill="FFFFFF"/>
            <w:vAlign w:val="center"/>
          </w:tcPr>
          <w:p>
            <w:pPr>
              <w:pStyle w:val="27"/>
              <w:jc w:val="center"/>
              <w:rPr>
                <w:rFonts w:hint="default"/>
              </w:rPr>
            </w:pPr>
            <w:r>
              <w:t>偶然荷载</w:t>
            </w:r>
          </w:p>
        </w:tc>
        <w:tc>
          <w:tcPr>
            <w:tcW w:w="3332" w:type="dxa"/>
            <w:shd w:val="clear" w:color="auto" w:fill="FFFFFF"/>
            <w:vAlign w:val="center"/>
          </w:tcPr>
          <w:p>
            <w:pPr>
              <w:pStyle w:val="27"/>
              <w:jc w:val="center"/>
              <w:rPr>
                <w:rFonts w:hint="default"/>
              </w:rPr>
            </w:pPr>
            <w:r>
              <w:t>地震作用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偶然荷载</w:t>
            </w:r>
          </w:p>
        </w:tc>
        <w:tc>
          <w:tcPr>
            <w:tcW w:w="3332" w:type="dxa"/>
            <w:shd w:val="clear" w:color="auto" w:fill="FFFFFF"/>
            <w:vAlign w:val="center"/>
          </w:tcPr>
          <w:p>
            <w:pPr>
              <w:pStyle w:val="27"/>
              <w:jc w:val="center"/>
              <w:rPr>
                <w:rFonts w:hint="default"/>
              </w:rPr>
            </w:pPr>
            <w:r>
              <w:t>沉船、抛锚或河道疏浚产生的撞击力等灾害性荷载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6664" w:type="dxa"/>
            <w:gridSpan w:val="2"/>
            <w:vMerge w:val="continue"/>
            <w:shd w:val="clear" w:color="auto" w:fill="FFFFFF"/>
            <w:vAlign w:val="center"/>
          </w:tcPr>
          <w:p>
            <w:pPr>
              <w:pStyle w:val="27"/>
              <w:jc w:val="center"/>
              <w:rPr>
                <w:rFonts w:hint="default"/>
              </w:rPr>
            </w:pPr>
            <w:r>
              <w:t>偶然荷载</w:t>
            </w:r>
          </w:p>
        </w:tc>
        <w:tc>
          <w:tcPr>
            <w:tcW w:w="3332" w:type="dxa"/>
            <w:shd w:val="clear" w:color="auto" w:fill="FFFFFF"/>
            <w:vAlign w:val="center"/>
          </w:tcPr>
          <w:p>
            <w:pPr>
              <w:pStyle w:val="27"/>
              <w:jc w:val="center"/>
              <w:rPr>
                <w:rFonts w:hint="default"/>
              </w:rPr>
            </w:pPr>
            <w:r>
              <w:t>人防荷载</w:t>
            </w:r>
          </w:p>
        </w:tc>
      </w:tr>
    </w:tbl>
    <w:p>
      <w:pPr>
        <w:pStyle w:val="25"/>
        <w:ind w:firstLine="420"/>
        <w:rPr>
          <w:rFonts w:hint="default"/>
        </w:rPr>
      </w:pPr>
      <w:r>
        <w:t>其中，相应荷载取值如下：</w:t>
      </w:r>
    </w:p>
    <w:p>
      <w:pPr>
        <w:pStyle w:val="25"/>
        <w:ind w:firstLine="420"/>
        <w:rPr>
          <w:rFonts w:hint="default"/>
        </w:rPr>
      </w:pPr>
      <w:r>
        <w:t>结构自重：结构自身重量产生的沿构件轴线分布的竖向荷载；</w:t>
      </w:r>
    </w:p>
    <w:p>
      <w:pPr>
        <w:pStyle w:val="25"/>
        <w:ind w:firstLine="420"/>
        <w:rPr>
          <w:rFonts w:hint="default"/>
        </w:rPr>
      </w:pPr>
      <w:r>
        <w:t>竖向压力：按计算截面以上全部土柱重量考虑；</w:t>
      </w:r>
    </w:p>
    <w:p>
      <w:pPr>
        <w:pStyle w:val="25"/>
        <w:ind w:firstLine="420"/>
        <w:rPr>
          <w:rFonts w:hint="default"/>
        </w:rPr>
      </w:pPr>
      <w:r>
        <w:t>水平压力：施工期间支护结构的外土压力按朗金公式的主动土压力计算。使用阶段结构承受的水平力按静止土压力计算。设计采用的侧向水、土压力，对于粘性土地层采用水土合算，对于砂性土地层采用水土分算的办法；</w:t>
      </w:r>
    </w:p>
    <w:p>
      <w:pPr>
        <w:pStyle w:val="25"/>
        <w:ind w:firstLine="420"/>
        <w:rPr>
          <w:rFonts w:hint="default"/>
        </w:rPr>
      </w:pPr>
      <w:r>
        <w:t>水压力：作用于顶板的水压力等于作用在其顶点的静水压力值，作用于底板底的水压力等于作用在最低点的静水压力值。垂直方向的水压力取为均布荷载。水平方向的水压力取为梯形分布荷载，其值等于静水压力；</w:t>
      </w:r>
    </w:p>
    <w:p>
      <w:pPr>
        <w:pStyle w:val="25"/>
        <w:ind w:firstLine="420"/>
        <w:rPr>
          <w:rFonts w:hint="default"/>
        </w:rPr>
      </w:pPr>
      <w:r>
        <w:t>侧向地层抗力和地基反力：采用弹簧进行模拟；</w:t>
      </w:r>
    </w:p>
    <w:p>
      <w:pPr>
        <w:pStyle w:val="25"/>
        <w:ind w:firstLine="420"/>
        <w:rPr>
          <w:rFonts w:hint="default"/>
        </w:rPr>
      </w:pPr>
      <w:r>
        <w:t>人群荷载：站台、站厅、楼梯、车站管理用房等部位的人群荷载按4kPa计算；</w:t>
      </w:r>
    </w:p>
    <w:p>
      <w:pPr>
        <w:pStyle w:val="25"/>
        <w:ind w:firstLine="420"/>
        <w:rPr>
          <w:rFonts w:hint="default"/>
        </w:rPr>
      </w:pPr>
      <w:r>
        <w:t>设备荷载：设备用房的计算荷载，一般按8kPa进行计算，大于8kPa的应根据设备的实际重量、动力影响、安装运输路径等确定其大小和范围。对于自动扶梯等需要吊装的设备荷载，在结构计算时还应考虑设备起吊点所设置的位置及起吊点的荷载值。另外尚应满足消防荷载要求；</w:t>
      </w:r>
    </w:p>
    <w:p>
      <w:pPr>
        <w:pStyle w:val="25"/>
        <w:ind w:firstLine="420"/>
        <w:rPr>
          <w:rFonts w:hint="default"/>
        </w:rPr>
      </w:pPr>
      <w:r>
        <w:t>施工荷载：结构设计中应考虑各种施工荷载可能发生的组合，按10kPa计算；</w:t>
      </w:r>
    </w:p>
    <w:p>
      <w:pPr>
        <w:pStyle w:val="25"/>
        <w:ind w:firstLine="420"/>
        <w:rPr>
          <w:rFonts w:hint="default"/>
        </w:rPr>
      </w:pPr>
      <w:r>
        <w:t>地面超载：一般按20kPa计算；</w:t>
      </w:r>
    </w:p>
    <w:p>
      <w:pPr>
        <w:pStyle w:val="25"/>
        <w:ind w:firstLine="420"/>
        <w:rPr>
          <w:rFonts w:hint="default"/>
        </w:rPr>
      </w:pPr>
      <w:r>
        <w:t>地震作用：地铁结构的地震作用设防烈度为6 (0.05g)，设防类别为乙类，框架等级为乙类</w:t>
      </w:r>
    </w:p>
    <w:p>
      <w:pPr>
        <w:pStyle w:val="3"/>
      </w:pPr>
      <w:bookmarkStart w:id="32" w:name="_Toc112924657"/>
      <w:r>
        <w:t>4.4 地震动</w:t>
      </w:r>
      <w:bookmarkEnd w:id="32"/>
    </w:p>
    <w:p>
      <w:pPr>
        <w:pStyle w:val="4"/>
        <w:bidi w:val="0"/>
        <w:rPr>
          <w:rFonts w:hint="default"/>
          <w:lang w:val="en-US" w:eastAsia="zh-CN"/>
        </w:rPr>
      </w:pPr>
      <w:r>
        <w:rPr>
          <w:rFonts w:hint="eastAsia"/>
          <w:lang w:val="en-US" w:eastAsia="zh-CN"/>
        </w:rPr>
        <w:t>4.4.1 地震动时程</w:t>
      </w:r>
    </w:p>
    <w:p>
      <w:pPr>
        <w:rPr>
          <w:rFonts w:hint="default" w:eastAsia="宋体"/>
          <w:sz w:val="24"/>
          <w:szCs w:val="24"/>
          <w:lang w:val="en-US" w:eastAsia="zh-CN"/>
        </w:rPr>
      </w:pPr>
      <w:bookmarkStart w:id="33" w:name="DBS0_CurveChart_Vibration_Time"/>
      <w:bookmarkEnd w:id="33"/>
    </w:p>
    <w:p>
      <w:pPr>
        <w:pStyle w:val="4"/>
        <w:bidi w:val="0"/>
        <w:rPr>
          <w:rFonts w:hint="default"/>
          <w:lang w:val="en-US" w:eastAsia="zh-CN"/>
        </w:rPr>
      </w:pPr>
      <w:r>
        <w:rPr>
          <w:rFonts w:hint="eastAsia"/>
          <w:lang w:val="en-US" w:eastAsia="zh-CN"/>
        </w:rPr>
        <w:t>4.4.2 场地反应分析结果</w:t>
      </w:r>
    </w:p>
    <w:p>
      <w:pPr>
        <w:rPr>
          <w:rFonts w:hint="default" w:eastAsia="宋体"/>
          <w:sz w:val="24"/>
          <w:szCs w:val="24"/>
          <w:lang w:val="en-US" w:eastAsia="zh-CN"/>
        </w:rPr>
      </w:pPr>
      <w:bookmarkStart w:id="34" w:name="DBS0_CurveChart_Vibration_EERA"/>
      <w:bookmarkEnd w:id="34"/>
    </w:p>
    <w:p>
      <w:pPr>
        <w:pStyle w:val="3"/>
      </w:pPr>
      <w:bookmarkStart w:id="35" w:name="_Toc112924658"/>
      <w:r>
        <w:t>4.5 荷载组合</w:t>
      </w:r>
      <w:bookmarkEnd w:id="35"/>
    </w:p>
    <w:p>
      <w:pPr>
        <w:rPr>
          <w:rFonts w:hint="eastAsia" w:ascii="Times New Roman" w:hAnsi="Times New Roman" w:eastAsia="宋体" w:cs="Times New Roman"/>
          <w:sz w:val="24"/>
          <w:szCs w:val="24"/>
          <w:lang w:val="en-US" w:eastAsia="zh-CN"/>
        </w:rPr>
      </w:pPr>
      <w:bookmarkStart w:id="36" w:name="DBS0_Table_Comb_List"/>
      <w:bookmarkEnd w:id="36"/>
      <w:bookmarkStart w:id="46" w:name="_GoBack"/>
      <w:bookmarkEnd w:id="46"/>
    </w:p>
    <w:p/>
    <w:p>
      <w:pPr>
        <w:pStyle w:val="2"/>
        <w:rPr>
          <w:rFonts w:hint="default"/>
        </w:rPr>
      </w:pPr>
      <w:bookmarkStart w:id="37" w:name="_Toc112924659"/>
      <w:r>
        <w:t>第5章 E2设计结果</w:t>
      </w:r>
      <w:bookmarkEnd w:id="37"/>
    </w:p>
    <w:p>
      <w:pPr>
        <w:pStyle w:val="3"/>
        <w:rPr>
          <w:rFonts w:hint="default"/>
        </w:rPr>
      </w:pPr>
      <w:bookmarkStart w:id="38" w:name="_Toc112924660"/>
      <w:r>
        <w:t>5.1 E2地震下抗震性能评价</w:t>
      </w:r>
      <w:bookmarkEnd w:id="38"/>
    </w:p>
    <w:p>
      <w:pPr>
        <w:pStyle w:val="4"/>
        <w:rPr>
          <w:rFonts w:hint="eastAsia"/>
          <w:lang w:val="en-US" w:eastAsia="zh-CN"/>
        </w:rPr>
      </w:pPr>
      <w:bookmarkStart w:id="39" w:name="_Toc112924661"/>
      <w:r>
        <w:t xml:space="preserve">5.1.1 </w:t>
      </w:r>
      <w:r>
        <w:rPr>
          <w:rFonts w:hint="eastAsia"/>
          <w:lang w:val="en-US" w:eastAsia="zh-CN"/>
        </w:rPr>
        <w:t>层间</w:t>
      </w:r>
      <w:r>
        <w:t>位移角</w:t>
      </w:r>
      <w:bookmarkEnd w:id="39"/>
      <w:r>
        <w:rPr>
          <w:rFonts w:hint="eastAsia"/>
          <w:lang w:val="en-US" w:eastAsia="zh-CN"/>
        </w:rPr>
        <w:t>包络表</w:t>
      </w:r>
    </w:p>
    <w:p>
      <w:pPr>
        <w:rPr>
          <w:sz w:val="24"/>
          <w:szCs w:val="24"/>
        </w:rPr>
      </w:pPr>
      <w:bookmarkStart w:id="40" w:name="DBS0_Table_SDR_Envelope"/>
      <w:bookmarkEnd w:id="40"/>
    </w:p>
    <w:p>
      <w:pPr>
        <w:pStyle w:val="25"/>
        <w:ind w:firstLine="420"/>
        <w:rPr>
          <w:rFonts w:hint="default"/>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8"/>
        <w:gridCol w:w="4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4998" w:type="dxa"/>
            <w:shd w:val="clear" w:color="auto" w:fill="FFFFFF"/>
            <w:vAlign w:val="center"/>
          </w:tcPr>
          <w:p>
            <w:pPr>
              <w:pStyle w:val="27"/>
              <w:jc w:val="center"/>
              <w:rPr>
                <w:rFonts w:hint="default"/>
              </w:rPr>
            </w:pPr>
            <w:r>
              <w:t>地下结构类型</w:t>
            </w:r>
          </w:p>
        </w:tc>
        <w:tc>
          <w:tcPr>
            <w:tcW w:w="4998" w:type="dxa"/>
            <w:shd w:val="clear" w:color="auto" w:fill="FFFFFF"/>
            <w:vAlign w:val="center"/>
          </w:tcPr>
          <w:p>
            <w:pPr>
              <w:pStyle w:val="27"/>
              <w:jc w:val="center"/>
              <w:rPr>
                <w:rFonts w:hint="default"/>
              </w:rPr>
            </w:pPr>
            <w:r>
              <w:t>层间位移角限值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4998" w:type="dxa"/>
            <w:shd w:val="clear" w:color="auto" w:fill="FFFFFF"/>
            <w:vAlign w:val="center"/>
          </w:tcPr>
          <w:p>
            <w:pPr>
              <w:pStyle w:val="27"/>
              <w:jc w:val="center"/>
              <w:rPr>
                <w:rFonts w:hint="default"/>
              </w:rPr>
            </w:pPr>
            <w:r>
              <w:t>单层或双层结构</w:t>
            </w:r>
          </w:p>
        </w:tc>
        <w:tc>
          <w:tcPr>
            <w:tcW w:w="4998" w:type="dxa"/>
            <w:shd w:val="clear" w:color="auto" w:fill="FFFFFF"/>
            <w:vAlign w:val="center"/>
          </w:tcPr>
          <w:p>
            <w:pPr>
              <w:pStyle w:val="27"/>
              <w:jc w:val="center"/>
              <w:rPr>
                <w:rFonts w:hint="default"/>
              </w:rPr>
            </w:pPr>
            <w: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4998" w:type="dxa"/>
            <w:shd w:val="clear" w:color="auto" w:fill="FFFFFF"/>
            <w:vAlign w:val="center"/>
          </w:tcPr>
          <w:p>
            <w:pPr>
              <w:pStyle w:val="27"/>
              <w:jc w:val="center"/>
              <w:rPr>
                <w:rFonts w:hint="default"/>
              </w:rPr>
            </w:pPr>
            <w:r>
              <w:t>三层及三层以上结构</w:t>
            </w:r>
          </w:p>
        </w:tc>
        <w:tc>
          <w:tcPr>
            <w:tcW w:w="4998" w:type="dxa"/>
            <w:shd w:val="clear" w:color="auto" w:fill="FFFFFF"/>
            <w:vAlign w:val="center"/>
          </w:tcPr>
          <w:p>
            <w:pPr>
              <w:pStyle w:val="27"/>
              <w:jc w:val="center"/>
              <w:rPr>
                <w:rFonts w:hint="default"/>
              </w:rPr>
            </w:pPr>
            <w:r>
              <w:t>1/1000</w:t>
            </w:r>
          </w:p>
        </w:tc>
      </w:tr>
    </w:tbl>
    <w:p/>
    <w:p>
      <w:pPr>
        <w:pStyle w:val="4"/>
        <w:bidi w:val="0"/>
        <w:rPr>
          <w:rFonts w:hint="eastAsia"/>
          <w:lang w:val="en-US" w:eastAsia="zh-CN"/>
        </w:rPr>
      </w:pPr>
      <w:r>
        <w:rPr>
          <w:rFonts w:hint="eastAsia"/>
          <w:lang w:val="en-US" w:eastAsia="zh-CN"/>
        </w:rPr>
        <w:t>5.1.2 层间位移角时程曲线</w:t>
      </w:r>
    </w:p>
    <w:p>
      <w:pPr>
        <w:pStyle w:val="28"/>
        <w:jc w:val="both"/>
        <w:rPr>
          <w:rFonts w:hint="default"/>
          <w:b w:val="0"/>
          <w:bCs/>
        </w:rPr>
      </w:pPr>
      <w:bookmarkStart w:id="41" w:name="DBS0_CurveChart_SDR_Time"/>
      <w:bookmarkEnd w:id="41"/>
    </w:p>
    <w:p>
      <w:pPr>
        <w:pStyle w:val="28"/>
        <w:rPr>
          <w:rFonts w:hint="default"/>
        </w:rPr>
      </w:pPr>
    </w:p>
    <w:p>
      <w:pPr>
        <w:pStyle w:val="25"/>
        <w:rPr>
          <w:rFonts w:hint="default"/>
        </w:rPr>
      </w:pPr>
    </w:p>
    <w:p>
      <w:pPr>
        <w:pStyle w:val="4"/>
      </w:pPr>
      <w:bookmarkStart w:id="42" w:name="_Toc8087"/>
      <w:r>
        <w:t>5.</w:t>
      </w:r>
      <w:r>
        <w:rPr>
          <w:rFonts w:hint="default"/>
        </w:rPr>
        <w:t>1</w:t>
      </w:r>
      <w:r>
        <w:t>.</w:t>
      </w:r>
      <w:r>
        <w:rPr>
          <w:rFonts w:hint="eastAsia"/>
          <w:lang w:val="en-US" w:eastAsia="zh-CN"/>
        </w:rPr>
        <w:t>3</w:t>
      </w:r>
      <w:r>
        <w:t xml:space="preserve"> 柱轴压比</w:t>
      </w:r>
      <w:bookmarkEnd w:id="42"/>
    </w:p>
    <w:p>
      <w:pPr>
        <w:rPr>
          <w:rFonts w:hint="default" w:eastAsia="宋体"/>
          <w:sz w:val="24"/>
          <w:szCs w:val="24"/>
          <w:lang w:val="en-US" w:eastAsia="zh-CN"/>
        </w:rPr>
      </w:pPr>
      <w:bookmarkStart w:id="43" w:name="DBS0_CurveChart_Comb_ACR_Col"/>
      <w:bookmarkEnd w:id="43"/>
    </w:p>
    <w:p>
      <w:pPr>
        <w:pStyle w:val="4"/>
      </w:pPr>
      <w:r>
        <w:t>5.</w:t>
      </w:r>
      <w:r>
        <w:rPr>
          <w:rFonts w:hint="default"/>
        </w:rPr>
        <w:t>1</w:t>
      </w:r>
      <w:r>
        <w:t>.</w:t>
      </w:r>
      <w:r>
        <w:rPr>
          <w:rFonts w:hint="eastAsia"/>
          <w:lang w:val="en-US" w:eastAsia="zh-CN"/>
        </w:rPr>
        <w:t>4</w:t>
      </w:r>
      <w:r>
        <w:t xml:space="preserve"> </w:t>
      </w:r>
      <w:r>
        <w:rPr>
          <w:rFonts w:hint="eastAsia"/>
          <w:lang w:val="en-US" w:eastAsia="zh-CN"/>
        </w:rPr>
        <w:t>墙</w:t>
      </w:r>
      <w:r>
        <w:t>轴压比</w:t>
      </w:r>
    </w:p>
    <w:p>
      <w:pPr>
        <w:bidi w:val="0"/>
        <w:rPr>
          <w:sz w:val="24"/>
          <w:szCs w:val="24"/>
        </w:rPr>
      </w:pPr>
      <w:bookmarkStart w:id="44" w:name="DBS0_CurveChart_Comb_ACR_Wall"/>
      <w:bookmarkEnd w:id="44"/>
      <w:bookmarkStart w:id="45" w:name="_Toc8088"/>
    </w:p>
    <w:p>
      <w:pPr>
        <w:pStyle w:val="3"/>
      </w:pPr>
      <w:r>
        <w:t>5.</w:t>
      </w:r>
      <w:r>
        <w:rPr>
          <w:rFonts w:hint="default"/>
        </w:rPr>
        <w:t>2</w:t>
      </w:r>
      <w:r>
        <w:t xml:space="preserve"> 小结</w:t>
      </w:r>
      <w:bookmarkEnd w:id="45"/>
    </w:p>
    <w:p>
      <w:pPr>
        <w:pStyle w:val="25"/>
        <w:rPr>
          <w:rFonts w:ascii="宋体"/>
          <w:szCs w:val="24"/>
        </w:rPr>
      </w:pPr>
    </w:p>
    <w:sectPr>
      <w:headerReference r:id="rId3" w:type="default"/>
      <w:footerReference r:id="rId4" w:type="default"/>
      <w:type w:val="continuous"/>
      <w:pgSz w:w="23811" w:h="16838" w:orient="landscape"/>
      <w:pgMar w:top="1440" w:right="1800" w:bottom="1440" w:left="1800" w:header="720" w:footer="720" w:gutter="0"/>
      <w:pgNumType w:start="0"/>
      <w:cols w:space="840" w:num="2"/>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
    </w:sdtPr>
    <w:sdtContent>
      <w:p>
        <w:pPr>
          <w:pStyle w:val="30"/>
          <w:rPr>
            <w:rFonts w:hint="default"/>
          </w:rPr>
        </w:pPr>
        <w:r>
          <w:fldChar w:fldCharType="begin"/>
        </w:r>
        <w:r>
          <w:instrText xml:space="preserve">PAGE \* MERGEFORMAT</w:instrText>
        </w:r>
        <w:r>
          <w:fldChar w:fldCharType="separate"/>
        </w:r>
        <w:r>
          <w:t>1</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attachedTemplate r:id="rId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ViMTQwMjRlZTI2NGYzZTZmZGMxNzc3OGM5YzMyZGEifQ=="/>
  </w:docVars>
  <w:rsids>
    <w:rsidRoot w:val="086A7B08"/>
    <w:rsid w:val="00010E01"/>
    <w:rsid w:val="00033680"/>
    <w:rsid w:val="00047996"/>
    <w:rsid w:val="00074A0B"/>
    <w:rsid w:val="00094751"/>
    <w:rsid w:val="000B3230"/>
    <w:rsid w:val="0011051F"/>
    <w:rsid w:val="001435FD"/>
    <w:rsid w:val="00173147"/>
    <w:rsid w:val="001C7083"/>
    <w:rsid w:val="001F1B31"/>
    <w:rsid w:val="0021127C"/>
    <w:rsid w:val="0021648F"/>
    <w:rsid w:val="00255F9B"/>
    <w:rsid w:val="00276032"/>
    <w:rsid w:val="00290369"/>
    <w:rsid w:val="002943DD"/>
    <w:rsid w:val="002A791B"/>
    <w:rsid w:val="003674E4"/>
    <w:rsid w:val="00375146"/>
    <w:rsid w:val="003971B9"/>
    <w:rsid w:val="003C65D1"/>
    <w:rsid w:val="003E68DD"/>
    <w:rsid w:val="00405793"/>
    <w:rsid w:val="004239F3"/>
    <w:rsid w:val="00486F1B"/>
    <w:rsid w:val="004A0D28"/>
    <w:rsid w:val="004B1AB4"/>
    <w:rsid w:val="004B7629"/>
    <w:rsid w:val="004C0984"/>
    <w:rsid w:val="005073FF"/>
    <w:rsid w:val="0052786C"/>
    <w:rsid w:val="005303CB"/>
    <w:rsid w:val="0053759A"/>
    <w:rsid w:val="005764DB"/>
    <w:rsid w:val="005E08F0"/>
    <w:rsid w:val="005F4868"/>
    <w:rsid w:val="00607D2D"/>
    <w:rsid w:val="00613D60"/>
    <w:rsid w:val="00687E92"/>
    <w:rsid w:val="006A5AF6"/>
    <w:rsid w:val="006B1F59"/>
    <w:rsid w:val="006C30CE"/>
    <w:rsid w:val="006D1E27"/>
    <w:rsid w:val="006D38E2"/>
    <w:rsid w:val="00721B4A"/>
    <w:rsid w:val="007553CC"/>
    <w:rsid w:val="00782183"/>
    <w:rsid w:val="00794CEC"/>
    <w:rsid w:val="007D40E6"/>
    <w:rsid w:val="00807545"/>
    <w:rsid w:val="008109F8"/>
    <w:rsid w:val="008231A9"/>
    <w:rsid w:val="00844266"/>
    <w:rsid w:val="00845340"/>
    <w:rsid w:val="00854DFF"/>
    <w:rsid w:val="008A52A5"/>
    <w:rsid w:val="008C13DB"/>
    <w:rsid w:val="008D5C86"/>
    <w:rsid w:val="008F1C0D"/>
    <w:rsid w:val="008F1F02"/>
    <w:rsid w:val="008F206A"/>
    <w:rsid w:val="009878F6"/>
    <w:rsid w:val="00994E74"/>
    <w:rsid w:val="009A7D68"/>
    <w:rsid w:val="009B480E"/>
    <w:rsid w:val="009F49F9"/>
    <w:rsid w:val="00A02717"/>
    <w:rsid w:val="00A168CB"/>
    <w:rsid w:val="00A53F45"/>
    <w:rsid w:val="00A76628"/>
    <w:rsid w:val="00AD2618"/>
    <w:rsid w:val="00B258BC"/>
    <w:rsid w:val="00B26312"/>
    <w:rsid w:val="00B446CC"/>
    <w:rsid w:val="00B44AED"/>
    <w:rsid w:val="00B45651"/>
    <w:rsid w:val="00B45B03"/>
    <w:rsid w:val="00B520A0"/>
    <w:rsid w:val="00B648D7"/>
    <w:rsid w:val="00B9179E"/>
    <w:rsid w:val="00C168EC"/>
    <w:rsid w:val="00C21817"/>
    <w:rsid w:val="00C3256D"/>
    <w:rsid w:val="00C3490E"/>
    <w:rsid w:val="00C419F5"/>
    <w:rsid w:val="00C8303F"/>
    <w:rsid w:val="00CA04E7"/>
    <w:rsid w:val="00CC75DC"/>
    <w:rsid w:val="00D22508"/>
    <w:rsid w:val="00D22DDB"/>
    <w:rsid w:val="00D443C8"/>
    <w:rsid w:val="00D578D3"/>
    <w:rsid w:val="00DB03F9"/>
    <w:rsid w:val="00DE39F6"/>
    <w:rsid w:val="00DF39C1"/>
    <w:rsid w:val="00E02BC4"/>
    <w:rsid w:val="00E23F27"/>
    <w:rsid w:val="00E45BAB"/>
    <w:rsid w:val="00E86556"/>
    <w:rsid w:val="00E908EB"/>
    <w:rsid w:val="00EA3329"/>
    <w:rsid w:val="00ED661E"/>
    <w:rsid w:val="00EE2329"/>
    <w:rsid w:val="00EF19D1"/>
    <w:rsid w:val="00EF6D8F"/>
    <w:rsid w:val="00F12E2E"/>
    <w:rsid w:val="00F36EFA"/>
    <w:rsid w:val="00F45C91"/>
    <w:rsid w:val="00F67C4E"/>
    <w:rsid w:val="00F7024B"/>
    <w:rsid w:val="00F83654"/>
    <w:rsid w:val="00FC0F75"/>
    <w:rsid w:val="01D20F00"/>
    <w:rsid w:val="036773D4"/>
    <w:rsid w:val="03CF75C5"/>
    <w:rsid w:val="0727627E"/>
    <w:rsid w:val="086A7B08"/>
    <w:rsid w:val="0B0645A2"/>
    <w:rsid w:val="0B474635"/>
    <w:rsid w:val="0F570BA0"/>
    <w:rsid w:val="164E081E"/>
    <w:rsid w:val="1671428A"/>
    <w:rsid w:val="1A84603A"/>
    <w:rsid w:val="1B534872"/>
    <w:rsid w:val="1C272F9D"/>
    <w:rsid w:val="1CAD6614"/>
    <w:rsid w:val="1D7019C1"/>
    <w:rsid w:val="1FAB3DEF"/>
    <w:rsid w:val="27EB23E9"/>
    <w:rsid w:val="2D881983"/>
    <w:rsid w:val="32CF5773"/>
    <w:rsid w:val="39027EFE"/>
    <w:rsid w:val="3B001504"/>
    <w:rsid w:val="40AD5C16"/>
    <w:rsid w:val="41AE1E01"/>
    <w:rsid w:val="42EE54C8"/>
    <w:rsid w:val="444B7F47"/>
    <w:rsid w:val="45D171A3"/>
    <w:rsid w:val="46C92F6B"/>
    <w:rsid w:val="47213FAC"/>
    <w:rsid w:val="48AF7931"/>
    <w:rsid w:val="4C2F41A4"/>
    <w:rsid w:val="4C507786"/>
    <w:rsid w:val="4D255DA3"/>
    <w:rsid w:val="4DAC7BC3"/>
    <w:rsid w:val="4E876E8B"/>
    <w:rsid w:val="4ED17E34"/>
    <w:rsid w:val="4F166C4D"/>
    <w:rsid w:val="50A66A19"/>
    <w:rsid w:val="56AD4EB9"/>
    <w:rsid w:val="58FF4908"/>
    <w:rsid w:val="59C37A32"/>
    <w:rsid w:val="5B96370B"/>
    <w:rsid w:val="5CC20424"/>
    <w:rsid w:val="5FB54A36"/>
    <w:rsid w:val="62FF2301"/>
    <w:rsid w:val="683558CE"/>
    <w:rsid w:val="68D379B1"/>
    <w:rsid w:val="6AC878EC"/>
    <w:rsid w:val="6E0A2D01"/>
    <w:rsid w:val="6FA5163B"/>
    <w:rsid w:val="6FB40679"/>
    <w:rsid w:val="72645E70"/>
    <w:rsid w:val="79E4258D"/>
    <w:rsid w:val="7B895745"/>
    <w:rsid w:val="7DA97531"/>
    <w:rsid w:val="7EC33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heme="minorBidi"/>
      <w:kern w:val="2"/>
      <w:sz w:val="21"/>
      <w:szCs w:val="22"/>
      <w:lang w:val="en-US" w:eastAsia="zh-CN" w:bidi="ar-SA"/>
    </w:rPr>
  </w:style>
  <w:style w:type="paragraph" w:styleId="2">
    <w:name w:val="heading 1"/>
    <w:basedOn w:val="1"/>
    <w:next w:val="1"/>
    <w:link w:val="33"/>
    <w:qFormat/>
    <w:uiPriority w:val="9"/>
    <w:pPr>
      <w:spacing w:before="340" w:after="330"/>
      <w:jc w:val="center"/>
      <w:outlineLvl w:val="0"/>
    </w:pPr>
    <w:rPr>
      <w:rFonts w:hint="eastAsia" w:hAnsi="宋体" w:eastAsia="宋体"/>
      <w:b/>
      <w:sz w:val="48"/>
    </w:rPr>
  </w:style>
  <w:style w:type="paragraph" w:styleId="3">
    <w:name w:val="heading 2"/>
    <w:basedOn w:val="1"/>
    <w:next w:val="1"/>
    <w:link w:val="34"/>
    <w:qFormat/>
    <w:uiPriority w:val="9"/>
    <w:pPr>
      <w:spacing w:before="260" w:after="260"/>
      <w:outlineLvl w:val="1"/>
    </w:pPr>
    <w:rPr>
      <w:rFonts w:hint="eastAsia" w:hAnsi="宋体" w:eastAsia="宋体"/>
      <w:b/>
      <w:sz w:val="36"/>
    </w:rPr>
  </w:style>
  <w:style w:type="paragraph" w:styleId="4">
    <w:name w:val="heading 3"/>
    <w:basedOn w:val="1"/>
    <w:next w:val="1"/>
    <w:link w:val="31"/>
    <w:qFormat/>
    <w:uiPriority w:val="9"/>
    <w:pPr>
      <w:spacing w:before="260" w:after="260"/>
      <w:outlineLvl w:val="2"/>
    </w:pPr>
    <w:rPr>
      <w:rFonts w:hint="eastAsia" w:hAnsi="宋体" w:eastAsia="宋体"/>
      <w:b/>
      <w:sz w:val="30"/>
    </w:rPr>
  </w:style>
  <w:style w:type="paragraph" w:styleId="5">
    <w:name w:val="heading 4"/>
    <w:basedOn w:val="1"/>
    <w:next w:val="1"/>
    <w:link w:val="32"/>
    <w:qFormat/>
    <w:uiPriority w:val="9"/>
    <w:pPr>
      <w:spacing w:before="290" w:after="280"/>
      <w:outlineLvl w:val="3"/>
    </w:pPr>
    <w:rPr>
      <w:rFonts w:hint="eastAsia" w:hAnsi="宋体" w:eastAsia="宋体"/>
      <w:b/>
      <w:sz w:val="24"/>
    </w:rPr>
  </w:style>
  <w:style w:type="paragraph" w:styleId="6">
    <w:name w:val="heading 5"/>
    <w:basedOn w:val="1"/>
    <w:next w:val="1"/>
    <w:link w:val="35"/>
    <w:qFormat/>
    <w:uiPriority w:val="9"/>
    <w:pPr>
      <w:spacing w:before="280" w:after="290"/>
      <w:outlineLvl w:val="4"/>
    </w:pPr>
    <w:rPr>
      <w:b/>
    </w:rPr>
  </w:style>
  <w:style w:type="paragraph" w:styleId="7">
    <w:name w:val="heading 6"/>
    <w:basedOn w:val="1"/>
    <w:next w:val="1"/>
    <w:link w:val="36"/>
    <w:qFormat/>
    <w:uiPriority w:val="9"/>
    <w:pPr>
      <w:spacing w:before="280" w:after="290"/>
      <w:outlineLvl w:val="5"/>
    </w:pPr>
    <w:rPr>
      <w:b/>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toc 5"/>
    <w:basedOn w:val="1"/>
    <w:next w:val="1"/>
    <w:qFormat/>
    <w:uiPriority w:val="0"/>
    <w:pPr>
      <w:ind w:left="1680" w:leftChars="800"/>
    </w:pPr>
    <w:rPr>
      <w:rFonts w:eastAsia="宋体" w:hAnsiTheme="majorHAnsi" w:cstheme="majorBidi"/>
    </w:rPr>
  </w:style>
  <w:style w:type="paragraph" w:styleId="9">
    <w:name w:val="toc 3"/>
    <w:basedOn w:val="1"/>
    <w:next w:val="1"/>
    <w:qFormat/>
    <w:uiPriority w:val="0"/>
    <w:pPr>
      <w:ind w:left="840" w:leftChars="400"/>
    </w:pPr>
    <w:rPr>
      <w:rFonts w:eastAsia="宋体" w:hAnsiTheme="majorHAnsi" w:cstheme="majorBidi"/>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0"/>
    <w:rPr>
      <w:rFonts w:eastAsia="宋体" w:hAnsiTheme="majorHAnsi" w:cstheme="majorBidi"/>
    </w:rPr>
  </w:style>
  <w:style w:type="paragraph" w:styleId="13">
    <w:name w:val="toc 4"/>
    <w:basedOn w:val="1"/>
    <w:next w:val="1"/>
    <w:qFormat/>
    <w:uiPriority w:val="0"/>
    <w:pPr>
      <w:ind w:left="1260" w:leftChars="600"/>
    </w:pPr>
    <w:rPr>
      <w:rFonts w:eastAsia="宋体" w:hAnsiTheme="majorHAnsi" w:cstheme="majorBidi"/>
    </w:rPr>
  </w:style>
  <w:style w:type="paragraph" w:styleId="14">
    <w:name w:val="toc 6"/>
    <w:basedOn w:val="1"/>
    <w:next w:val="1"/>
    <w:qFormat/>
    <w:uiPriority w:val="0"/>
    <w:pPr>
      <w:ind w:left="2100" w:leftChars="1000"/>
    </w:pPr>
    <w:rPr>
      <w:rFonts w:eastAsia="宋体" w:hAnsiTheme="majorHAnsi" w:cstheme="majorBidi"/>
    </w:rPr>
  </w:style>
  <w:style w:type="paragraph" w:styleId="15">
    <w:name w:val="toc 2"/>
    <w:basedOn w:val="1"/>
    <w:next w:val="1"/>
    <w:qFormat/>
    <w:uiPriority w:val="0"/>
    <w:pPr>
      <w:ind w:left="420" w:leftChars="200"/>
    </w:pPr>
    <w:rPr>
      <w:rFonts w:eastAsia="宋体" w:hAnsiTheme="majorHAnsi" w:cstheme="majorBidi"/>
    </w:rPr>
  </w:style>
  <w:style w:type="table" w:styleId="17">
    <w:name w:val="Table Grid"/>
    <w:basedOn w:val="16"/>
    <w:qFormat/>
    <w:uiPriority w:val="0"/>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style>
  <w:style w:type="character" w:styleId="19">
    <w:name w:val="FollowedHyperlink"/>
    <w:basedOn w:val="18"/>
    <w:unhideWhenUsed/>
    <w:qFormat/>
    <w:uiPriority w:val="99"/>
    <w:rPr>
      <w:color w:val="800080" w:themeColor="followedHyperlink"/>
      <w:u w:val="single"/>
      <w14:textFill>
        <w14:solidFill>
          <w14:schemeClr w14:val="folHlink"/>
        </w14:solidFill>
      </w14:textFill>
    </w:rPr>
  </w:style>
  <w:style w:type="character" w:styleId="20">
    <w:name w:val="Hyperlink"/>
    <w:basedOn w:val="18"/>
    <w:unhideWhenUsed/>
    <w:qFormat/>
    <w:uiPriority w:val="99"/>
  </w:style>
  <w:style w:type="table" w:customStyle="1" w:styleId="21">
    <w:name w:val="_Style 4"/>
    <w:basedOn w:val="16"/>
    <w:qFormat/>
    <w:uiPriority w:val="0"/>
    <w:tblPr>
      <w:jc w:val="center"/>
    </w:tblPr>
    <w:trPr>
      <w:jc w:val="center"/>
    </w:trPr>
  </w:style>
  <w:style w:type="paragraph" w:customStyle="1" w:styleId="22">
    <w:name w:val="Heading"/>
    <w:basedOn w:val="2"/>
    <w:qFormat/>
    <w:uiPriority w:val="0"/>
    <w:pPr>
      <w:jc w:val="left"/>
    </w:pPr>
    <w:rPr>
      <w:rFonts w:eastAsia="楷体" w:asciiTheme="majorHAnsi" w:hAnsiTheme="majorHAnsi" w:cstheme="majorBidi"/>
      <w:sz w:val="32"/>
    </w:rPr>
  </w:style>
  <w:style w:type="table" w:customStyle="1" w:styleId="23">
    <w:name w:val="_Style 13"/>
    <w:basedOn w:val="16"/>
    <w:qFormat/>
    <w:uiPriority w:val="0"/>
    <w:tblPr>
      <w:jc w:val="center"/>
    </w:tblPr>
    <w:trPr>
      <w:jc w:val="center"/>
    </w:trPr>
  </w:style>
  <w:style w:type="paragraph" w:customStyle="1" w:styleId="24">
    <w:name w:val="_Style 14"/>
    <w:basedOn w:val="1"/>
    <w:qFormat/>
    <w:uiPriority w:val="0"/>
    <w:rPr>
      <w:rFonts w:hint="eastAsia" w:hAnsi="宋体" w:eastAsia="宋体"/>
      <w:sz w:val="30"/>
    </w:rPr>
  </w:style>
  <w:style w:type="paragraph" w:customStyle="1" w:styleId="25">
    <w:name w:val="_Style 21"/>
    <w:basedOn w:val="1"/>
    <w:qFormat/>
    <w:uiPriority w:val="0"/>
    <w:rPr>
      <w:rFonts w:hint="eastAsia" w:hAnsi="宋体" w:eastAsia="宋体"/>
      <w:sz w:val="24"/>
    </w:rPr>
  </w:style>
  <w:style w:type="paragraph" w:customStyle="1" w:styleId="26">
    <w:name w:val="_Style 22"/>
    <w:basedOn w:val="1"/>
    <w:qFormat/>
    <w:uiPriority w:val="0"/>
    <w:pPr>
      <w:jc w:val="center"/>
    </w:pPr>
    <w:rPr>
      <w:rFonts w:hint="eastAsia" w:hAnsi="宋体" w:eastAsia="宋体"/>
      <w:b/>
      <w:sz w:val="24"/>
    </w:rPr>
  </w:style>
  <w:style w:type="paragraph" w:customStyle="1" w:styleId="27">
    <w:name w:val="_Style 23"/>
    <w:basedOn w:val="1"/>
    <w:qFormat/>
    <w:uiPriority w:val="0"/>
    <w:rPr>
      <w:rFonts w:hint="eastAsia" w:hAnsi="宋体" w:eastAsia="宋体"/>
      <w:sz w:val="24"/>
    </w:rPr>
  </w:style>
  <w:style w:type="paragraph" w:customStyle="1" w:styleId="28">
    <w:name w:val="_Style 24"/>
    <w:basedOn w:val="1"/>
    <w:qFormat/>
    <w:uiPriority w:val="0"/>
    <w:pPr>
      <w:jc w:val="center"/>
    </w:pPr>
    <w:rPr>
      <w:rFonts w:hint="eastAsia" w:hAnsi="宋体" w:eastAsia="宋体"/>
      <w:b/>
      <w:sz w:val="24"/>
    </w:rPr>
  </w:style>
  <w:style w:type="paragraph" w:customStyle="1" w:styleId="29">
    <w:name w:val="_Style 25"/>
    <w:basedOn w:val="1"/>
    <w:qFormat/>
    <w:uiPriority w:val="0"/>
    <w:pPr>
      <w:pBdr>
        <w:bottom w:val="single" w:color="auto" w:sz="6" w:space="1"/>
      </w:pBdr>
    </w:pPr>
    <w:rPr>
      <w:rFonts w:hint="eastAsia" w:hAnsi="宋体" w:eastAsia="宋体"/>
    </w:rPr>
  </w:style>
  <w:style w:type="paragraph" w:customStyle="1" w:styleId="30">
    <w:name w:val="_Style 26"/>
    <w:basedOn w:val="1"/>
    <w:qFormat/>
    <w:uiPriority w:val="0"/>
    <w:pPr>
      <w:jc w:val="center"/>
    </w:pPr>
    <w:rPr>
      <w:rFonts w:hint="eastAsia" w:hAnsi="宋体" w:eastAsia="宋体"/>
    </w:rPr>
  </w:style>
  <w:style w:type="character" w:customStyle="1" w:styleId="31">
    <w:name w:val="标题 3 字符"/>
    <w:basedOn w:val="18"/>
    <w:link w:val="4"/>
    <w:qFormat/>
    <w:uiPriority w:val="9"/>
    <w:rPr>
      <w:rFonts w:hAnsi="宋体" w:eastAsia="宋体"/>
      <w:b/>
      <w:kern w:val="2"/>
      <w:sz w:val="30"/>
      <w:szCs w:val="22"/>
    </w:rPr>
  </w:style>
  <w:style w:type="character" w:customStyle="1" w:styleId="32">
    <w:name w:val="标题 4 字符"/>
    <w:basedOn w:val="18"/>
    <w:link w:val="5"/>
    <w:qFormat/>
    <w:uiPriority w:val="9"/>
    <w:rPr>
      <w:rFonts w:hAnsi="宋体" w:eastAsia="宋体"/>
      <w:b/>
      <w:kern w:val="2"/>
      <w:sz w:val="24"/>
      <w:szCs w:val="22"/>
    </w:rPr>
  </w:style>
  <w:style w:type="character" w:customStyle="1" w:styleId="33">
    <w:name w:val="标题 1 字符"/>
    <w:basedOn w:val="18"/>
    <w:link w:val="2"/>
    <w:qFormat/>
    <w:uiPriority w:val="9"/>
    <w:rPr>
      <w:rFonts w:hAnsi="宋体" w:eastAsia="宋体"/>
      <w:b/>
      <w:kern w:val="2"/>
      <w:sz w:val="48"/>
      <w:szCs w:val="22"/>
    </w:rPr>
  </w:style>
  <w:style w:type="character" w:customStyle="1" w:styleId="34">
    <w:name w:val="标题 2 字符"/>
    <w:basedOn w:val="18"/>
    <w:link w:val="3"/>
    <w:qFormat/>
    <w:uiPriority w:val="9"/>
    <w:rPr>
      <w:rFonts w:hAnsi="宋体" w:eastAsia="宋体"/>
      <w:b/>
      <w:kern w:val="2"/>
      <w:sz w:val="36"/>
      <w:szCs w:val="22"/>
    </w:rPr>
  </w:style>
  <w:style w:type="character" w:customStyle="1" w:styleId="35">
    <w:name w:val="标题 5 字符"/>
    <w:basedOn w:val="18"/>
    <w:link w:val="6"/>
    <w:qFormat/>
    <w:uiPriority w:val="9"/>
    <w:rPr>
      <w:rFonts w:eastAsia="Times New Roman"/>
      <w:b/>
      <w:kern w:val="2"/>
      <w:sz w:val="21"/>
      <w:szCs w:val="22"/>
    </w:rPr>
  </w:style>
  <w:style w:type="character" w:customStyle="1" w:styleId="36">
    <w:name w:val="标题 6 字符"/>
    <w:basedOn w:val="18"/>
    <w:link w:val="7"/>
    <w:qFormat/>
    <w:uiPriority w:val="9"/>
    <w:rPr>
      <w:rFonts w:eastAsia="Times New Roman"/>
      <w:b/>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HW\Code\GFE\PrePo\Report\AntiSeismicTemp.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4C1FE-A1AB-4A02-A8A8-C0D128C2B52D}">
  <ds:schemaRefs/>
</ds:datastoreItem>
</file>

<file path=docProps/app.xml><?xml version="1.0" encoding="utf-8"?>
<Properties xmlns="http://schemas.openxmlformats.org/officeDocument/2006/extended-properties" xmlns:vt="http://schemas.openxmlformats.org/officeDocument/2006/docPropsVTypes">
  <Template>AntiSeismicTemp.dotx</Template>
  <Pages>16</Pages>
  <Words>7228</Words>
  <Characters>8540</Characters>
  <Lines>81</Lines>
  <Paragraphs>22</Paragraphs>
  <TotalTime>22</TotalTime>
  <ScaleCrop>false</ScaleCrop>
  <LinksUpToDate>false</LinksUpToDate>
  <CharactersWithSpaces>8674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2023-11-27T09:05:00Z</dcterms:created>
  <dc:creator>小伟</dc:creator>
  <cp:lastModifiedBy>小伟</cp:lastModifiedBy>
  <dcterms:modified xsi:type="dcterms:W3CDTF">2023-11-28T09:29:34Z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9DE42C92DE844997A70A37E7E74A41E7_11</vt:lpwstr>
  </property>
</Properties>
</file>