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3A5BB">
      <w:pPr>
        <w:pStyle w:val="13"/>
      </w:pPr>
      <w:r>
        <w:t>Assignment 1</w:t>
      </w:r>
    </w:p>
    <w:p w14:paraId="61DBB9BD">
      <w:pPr>
        <w:pStyle w:val="2"/>
        <w:rPr>
          <w:rFonts w:ascii="Times New Roman" w:hAnsi="Times New Roman" w:eastAsia="宋体" w:cs="Times New Roman"/>
          <w:b/>
          <w:bCs/>
          <w:iCs/>
          <w:caps/>
          <w:kern w:val="32"/>
          <w:sz w:val="28"/>
          <w:szCs w:val="28"/>
          <w:lang w:val="en-ZA" w:eastAsia="en-US" w:bidi="ar-SA"/>
          <w14:ligatures w14:val="none"/>
        </w:rPr>
      </w:pPr>
      <w:r>
        <w:rPr>
          <w:rFonts w:hint="eastAsia"/>
          <w:sz w:val="28"/>
          <w:szCs w:val="28"/>
        </w:rPr>
        <w:t>From Ethical Codes to Organizational Decision Architecture: Why Software Engineering Ethics Requires Governance, Auditability and Virtue-Based Practice</w:t>
      </w:r>
    </w:p>
    <w:p w14:paraId="2D87A508"/>
    <w:p w14:paraId="4571847E"/>
    <w:p w14:paraId="2EF4A0C7"/>
    <w:p w14:paraId="79C8C54F"/>
    <w:p w14:paraId="264671CB"/>
    <w:p w14:paraId="77884997"/>
    <w:p w14:paraId="427C25AF"/>
    <w:p w14:paraId="2FBE7FEB"/>
    <w:p w14:paraId="3A3E2FF1"/>
    <w:p w14:paraId="7EC1F4A8"/>
    <w:p w14:paraId="66B29518"/>
    <w:p w14:paraId="6C0EB4D3"/>
    <w:p w14:paraId="3994466E"/>
    <w:p w14:paraId="085EB7D1">
      <w:pPr>
        <w:tabs>
          <w:tab w:val="left" w:pos="3600"/>
        </w:tabs>
        <w:rPr>
          <w:bCs/>
          <w:iCs w:val="0"/>
        </w:rPr>
      </w:pPr>
      <w:r>
        <w:rPr>
          <w:b/>
          <w:bCs/>
          <w:iCs w:val="0"/>
        </w:rPr>
        <w:t xml:space="preserve">STUDENT NAME: </w:t>
      </w:r>
      <w:r>
        <w:rPr>
          <w:b/>
          <w:bCs/>
          <w:iCs w:val="0"/>
        </w:rPr>
        <w:tab/>
      </w:r>
      <w:r>
        <w:rPr>
          <w:rFonts w:hint="default" w:ascii="Times New Roman" w:hAnsi="Times New Roman" w:cs="Times New Roman"/>
          <w:bCs/>
          <w:iCs w:val="0"/>
        </w:rPr>
        <w:t>Kevin(Chengqian Wang)</w:t>
      </w:r>
    </w:p>
    <w:p w14:paraId="34BE75D6">
      <w:pPr>
        <w:tabs>
          <w:tab w:val="left" w:pos="3600"/>
        </w:tabs>
        <w:rPr>
          <w:rFonts w:hint="default" w:ascii="Times New Roman" w:hAnsi="Times New Roman" w:cs="Times New Roman"/>
          <w:bCs/>
          <w:iCs w:val="0"/>
        </w:rPr>
      </w:pPr>
      <w:r>
        <w:rPr>
          <w:b/>
          <w:bCs/>
          <w:iCs w:val="0"/>
        </w:rPr>
        <w:t>STUDENT NUMBER:</w:t>
      </w:r>
      <w:r>
        <w:rPr>
          <w:b/>
          <w:bCs/>
          <w:iCs w:val="0"/>
        </w:rPr>
        <w:tab/>
      </w:r>
      <w:r>
        <w:rPr>
          <w:rFonts w:hint="eastAsia" w:ascii="Times New Roman" w:hAnsi="Times New Roman" w:cs="Times New Roman"/>
          <w:bCs/>
          <w:iCs w:val="0"/>
        </w:rPr>
        <w:t>202313040120</w:t>
      </w:r>
    </w:p>
    <w:p w14:paraId="09BB7354">
      <w:pPr>
        <w:tabs>
          <w:tab w:val="left" w:pos="3600"/>
        </w:tabs>
        <w:ind w:left="3522" w:hanging="3522" w:hangingChars="1600"/>
        <w:rPr>
          <w:rFonts w:hint="default" w:ascii="Times New Roman" w:hAnsi="Times New Roman" w:eastAsia="Times New Roman" w:cs="Times New Roman"/>
          <w:bCs/>
          <w:iCs w:val="0"/>
          <w:lang w:val="en-US" w:eastAsia="zh-CN"/>
        </w:rPr>
      </w:pPr>
      <w:r>
        <w:rPr>
          <w:rFonts w:hint="eastAsia" w:eastAsia="Times New Roman"/>
          <w:b/>
          <w:bCs/>
          <w:iCs w:val="0"/>
          <w:lang w:val="en-US" w:eastAsia="zh-CN"/>
        </w:rPr>
        <w:t xml:space="preserve">TOPIC:                        </w:t>
      </w:r>
      <w:r>
        <w:rPr>
          <w:rFonts w:hint="eastAsia" w:ascii="Times New Roman" w:hAnsi="Times New Roman" w:eastAsia="Times New Roman" w:cs="Times New Roman"/>
          <w:bCs/>
          <w:iCs w:val="0"/>
          <w:lang w:val="en-US" w:eastAsia="zh-CN"/>
        </w:rPr>
        <w:t xml:space="preserve"> 9. Why do existing codes of ethics have "almost zero" impact on the actual decision-making of software engineers, and what specific organizational interventions could change this outcome?  </w:t>
      </w:r>
    </w:p>
    <w:p w14:paraId="77441629">
      <w:pPr>
        <w:tabs>
          <w:tab w:val="left" w:pos="3600"/>
        </w:tabs>
        <w:rPr>
          <w:b/>
          <w:bCs/>
          <w:iCs w:val="0"/>
          <w:szCs w:val="24"/>
        </w:rPr>
      </w:pPr>
    </w:p>
    <w:p w14:paraId="0A130907">
      <w:pPr>
        <w:tabs>
          <w:tab w:val="left" w:pos="3600"/>
        </w:tabs>
        <w:rPr>
          <w:b/>
          <w:bCs/>
          <w:iCs w:val="0"/>
          <w:szCs w:val="24"/>
        </w:rPr>
      </w:pPr>
    </w:p>
    <w:p w14:paraId="65937B9E">
      <w:pPr>
        <w:spacing w:before="0" w:beforeLines="0" w:after="0" w:afterLines="0" w:line="240" w:lineRule="auto"/>
        <w:ind w:left="0" w:leftChars="0" w:right="0" w:rightChars="0" w:firstLine="0" w:firstLineChars="0"/>
        <w:jc w:val="both"/>
        <w:rPr>
          <w:rFonts w:hint="eastAsia" w:ascii="Times New Roman" w:hAnsi="Times New Roman" w:cs="Times New Roman"/>
          <w:bCs/>
          <w:iCs w:val="0"/>
          <w:lang w:val="en-US" w:eastAsia="zh-CN"/>
        </w:rPr>
      </w:pPr>
      <w:r>
        <w:rPr>
          <w:rFonts w:hint="eastAsia"/>
          <w:b/>
          <w:bCs/>
          <w:iCs w:val="0"/>
        </w:rPr>
        <w:t>Tutor</w:t>
      </w:r>
      <w:r>
        <w:rPr>
          <w:b/>
          <w:bCs/>
          <w:iCs w:val="0"/>
        </w:rPr>
        <w:t>:</w:t>
      </w:r>
      <w:r>
        <w:rPr>
          <w:rFonts w:hint="eastAsia" w:eastAsia="宋体"/>
          <w:b/>
          <w:bCs/>
          <w:iCs w:val="0"/>
          <w:lang w:val="en-US" w:eastAsia="zh-CN"/>
        </w:rPr>
        <w:t xml:space="preserve">                          </w:t>
      </w:r>
      <w:r>
        <w:rPr>
          <w:rFonts w:hint="eastAsia" w:ascii="Times New Roman" w:hAnsi="Times New Roman" w:cs="Times New Roman"/>
          <w:bCs/>
          <w:iCs w:val="0"/>
          <w:lang w:val="en-US" w:eastAsia="zh-CN"/>
        </w:rPr>
        <w:t>Bao QuocVo, Yiru Sun</w:t>
      </w:r>
    </w:p>
    <w:p w14:paraId="36D3F3F0">
      <w:pPr>
        <w:spacing w:before="0" w:beforeLines="0" w:after="0" w:afterLines="0" w:line="240" w:lineRule="auto"/>
        <w:ind w:left="0" w:leftChars="0" w:right="0" w:rightChars="0" w:firstLine="0" w:firstLineChars="0"/>
        <w:jc w:val="both"/>
        <w:rPr>
          <w:rFonts w:hint="eastAsia" w:ascii="Times New Roman" w:hAnsi="Times New Roman" w:cs="Times New Roman"/>
          <w:bCs/>
          <w:iCs w:val="0"/>
          <w:lang w:val="en-US" w:eastAsia="zh-CN"/>
        </w:rPr>
      </w:pPr>
    </w:p>
    <w:p w14:paraId="6C9B532D">
      <w:pPr>
        <w:spacing w:before="0" w:beforeLines="0" w:after="0" w:afterLines="0" w:line="240" w:lineRule="auto"/>
        <w:ind w:left="0" w:leftChars="0" w:right="0" w:rightChars="0" w:firstLine="0" w:firstLineChars="0"/>
        <w:jc w:val="both"/>
        <w:rPr>
          <w:rFonts w:hint="eastAsia" w:ascii="Times New Roman" w:hAnsi="Times New Roman" w:cs="Times New Roman"/>
          <w:bCs/>
          <w:iCs w:val="0"/>
          <w:lang w:val="en-US" w:eastAsia="zh-CN"/>
        </w:rPr>
      </w:pPr>
    </w:p>
    <w:sdt>
      <w:sdtPr>
        <w:rPr>
          <w:rFonts w:ascii="宋体" w:hAnsi="宋体" w:eastAsia="宋体" w:cs="Arial"/>
          <w:iCs/>
          <w:kern w:val="0"/>
          <w:sz w:val="21"/>
          <w:szCs w:val="28"/>
          <w:lang w:val="en-ZA" w:eastAsia="en-US" w:bidi="ar-SA"/>
          <w14:ligatures w14:val="none"/>
        </w:rPr>
        <w:id w:val="147474954"/>
        <w15:color w:val="DBDBDB"/>
        <w:docPartObj>
          <w:docPartGallery w:val="Table of Contents"/>
          <w:docPartUnique/>
        </w:docPartObj>
      </w:sdtPr>
      <w:sdtEndPr>
        <w:rPr>
          <w:rFonts w:ascii="Times New Roman" w:hAnsi="Times New Roman" w:eastAsia="宋体" w:cs="Times New Roman"/>
          <w:b/>
          <w:bCs/>
          <w:iCs/>
          <w:caps/>
          <w:kern w:val="32"/>
          <w:sz w:val="32"/>
          <w:szCs w:val="32"/>
          <w:lang w:val="en-ZA" w:eastAsia="en-US" w:bidi="ar-SA"/>
          <w14:ligatures w14:val="none"/>
        </w:rPr>
      </w:sdtEndPr>
      <w:sdtContent>
        <w:p w14:paraId="683B4BEF">
          <w:pPr>
            <w:jc w:val="center"/>
          </w:pPr>
          <w:r>
            <w:rPr>
              <w:b/>
              <w:bCs/>
              <w:iCs w:val="0"/>
              <w:sz w:val="32"/>
              <w:szCs w:val="32"/>
            </w:rPr>
            <w:t>CONTENTS</w:t>
          </w:r>
        </w:p>
        <w:p w14:paraId="5E5DA60D">
          <w:pPr>
            <w:pStyle w:val="8"/>
            <w:tabs>
              <w:tab w:val="right" w:leader="dot" w:pos="8306"/>
            </w:tabs>
            <w:rPr>
              <w:rFonts w:hint="default" w:ascii="Times New Roman" w:hAnsi="Times New Roman" w:cs="Times New Roman"/>
              <w:b/>
              <w:bCs/>
              <w:color w:val="auto"/>
              <w:sz w:val="20"/>
              <w:szCs w:val="20"/>
            </w:rPr>
          </w:pPr>
          <w:r>
            <w:fldChar w:fldCharType="begin"/>
          </w:r>
          <w:r>
            <w:instrText xml:space="preserve">TOC \o "1-3" \h \u </w:instrText>
          </w:r>
          <w:r>
            <w:fldChar w:fldCharType="separate"/>
          </w:r>
          <w:r>
            <w:rPr>
              <w:rFonts w:hint="default" w:ascii="Times New Roman" w:hAnsi="Times New Roman" w:eastAsia="宋体" w:cs="Times New Roman"/>
              <w:b/>
              <w:bCs/>
              <w:iCs w:val="0"/>
              <w:caps/>
              <w:color w:val="auto"/>
              <w:kern w:val="0"/>
              <w:sz w:val="20"/>
              <w:szCs w:val="20"/>
              <w14:ligatures w14:val="none"/>
            </w:rPr>
            <w:fldChar w:fldCharType="begin"/>
          </w:r>
          <w:r>
            <w:rPr>
              <w:rFonts w:hint="default" w:ascii="Times New Roman" w:hAnsi="Times New Roman" w:eastAsia="宋体" w:cs="Times New Roman"/>
              <w:b/>
              <w:bCs/>
              <w:iCs w:val="0"/>
              <w:caps/>
              <w:color w:val="auto"/>
              <w:kern w:val="0"/>
              <w:sz w:val="20"/>
              <w:szCs w:val="20"/>
              <w14:ligatures w14:val="none"/>
            </w:rPr>
            <w:instrText xml:space="preserve"> HYPERLINK \l _Toc18753 </w:instrText>
          </w:r>
          <w:r>
            <w:rPr>
              <w:rFonts w:hint="default" w:ascii="Times New Roman" w:hAnsi="Times New Roman" w:eastAsia="宋体" w:cs="Times New Roman"/>
              <w:b/>
              <w:bCs/>
              <w:iCs w:val="0"/>
              <w:caps/>
              <w:color w:val="auto"/>
              <w:kern w:val="0"/>
              <w:sz w:val="20"/>
              <w:szCs w:val="20"/>
              <w14:ligatures w14:val="none"/>
            </w:rPr>
            <w:fldChar w:fldCharType="separate"/>
          </w:r>
          <w:r>
            <w:rPr>
              <w:rFonts w:hint="default" w:ascii="Times New Roman" w:hAnsi="Times New Roman" w:eastAsia="宋体" w:cs="Times New Roman"/>
              <w:b/>
              <w:bCs/>
              <w:iCs w:val="0"/>
              <w:caps/>
              <w:color w:val="auto"/>
              <w:kern w:val="0"/>
              <w:sz w:val="20"/>
              <w:szCs w:val="20"/>
              <w:lang w:val="en-ZA"/>
              <w14:ligatures w14:val="none"/>
            </w:rPr>
            <w:t>Executive Summary</w:t>
          </w:r>
          <w:r>
            <w:rPr>
              <w:rFonts w:hint="default" w:ascii="Times New Roman" w:hAnsi="Times New Roman" w:eastAsia="宋体" w:cs="Times New Roman"/>
              <w:b/>
              <w:bCs/>
              <w:iCs w:val="0"/>
              <w:caps/>
              <w:color w:val="auto"/>
              <w:kern w:val="0"/>
              <w:sz w:val="20"/>
              <w:szCs w:val="20"/>
              <w14:ligatures w14:val="none"/>
            </w:rPr>
            <w:tab/>
          </w:r>
          <w:r>
            <w:rPr>
              <w:rFonts w:hint="default" w:ascii="Times New Roman" w:hAnsi="Times New Roman" w:eastAsia="宋体" w:cs="Times New Roman"/>
              <w:b/>
              <w:bCs/>
              <w:iCs w:val="0"/>
              <w:caps/>
              <w:color w:val="auto"/>
              <w:kern w:val="0"/>
              <w:sz w:val="20"/>
              <w:szCs w:val="20"/>
              <w14:ligatures w14:val="none"/>
            </w:rPr>
            <w:fldChar w:fldCharType="begin"/>
          </w:r>
          <w:r>
            <w:rPr>
              <w:rFonts w:hint="default" w:ascii="Times New Roman" w:hAnsi="Times New Roman" w:eastAsia="宋体" w:cs="Times New Roman"/>
              <w:b/>
              <w:bCs/>
              <w:iCs w:val="0"/>
              <w:caps/>
              <w:color w:val="auto"/>
              <w:kern w:val="0"/>
              <w:sz w:val="20"/>
              <w:szCs w:val="20"/>
              <w14:ligatures w14:val="none"/>
            </w:rPr>
            <w:instrText xml:space="preserve"> PAGEREF _Toc18753 \h </w:instrText>
          </w:r>
          <w:r>
            <w:rPr>
              <w:rFonts w:hint="default" w:ascii="Times New Roman" w:hAnsi="Times New Roman" w:eastAsia="宋体" w:cs="Times New Roman"/>
              <w:b/>
              <w:bCs/>
              <w:iCs w:val="0"/>
              <w:caps/>
              <w:color w:val="auto"/>
              <w:kern w:val="0"/>
              <w:sz w:val="20"/>
              <w:szCs w:val="20"/>
              <w14:ligatures w14:val="none"/>
            </w:rPr>
            <w:fldChar w:fldCharType="separate"/>
          </w:r>
          <w:r>
            <w:rPr>
              <w:rFonts w:hint="default" w:ascii="Times New Roman" w:hAnsi="Times New Roman" w:eastAsia="宋体" w:cs="Times New Roman"/>
              <w:b/>
              <w:bCs/>
              <w:iCs w:val="0"/>
              <w:caps/>
              <w:color w:val="auto"/>
              <w:kern w:val="0"/>
              <w:sz w:val="20"/>
              <w:szCs w:val="20"/>
              <w14:ligatures w14:val="none"/>
            </w:rPr>
            <w:t>4</w:t>
          </w:r>
          <w:r>
            <w:rPr>
              <w:rFonts w:hint="default" w:ascii="Times New Roman" w:hAnsi="Times New Roman" w:eastAsia="宋体" w:cs="Times New Roman"/>
              <w:b/>
              <w:bCs/>
              <w:iCs w:val="0"/>
              <w:caps/>
              <w:color w:val="auto"/>
              <w:kern w:val="0"/>
              <w:sz w:val="20"/>
              <w:szCs w:val="20"/>
              <w14:ligatures w14:val="none"/>
            </w:rPr>
            <w:fldChar w:fldCharType="end"/>
          </w:r>
          <w:r>
            <w:rPr>
              <w:rFonts w:hint="default" w:ascii="Times New Roman" w:hAnsi="Times New Roman" w:eastAsia="宋体" w:cs="Times New Roman"/>
              <w:b/>
              <w:bCs/>
              <w:iCs w:val="0"/>
              <w:caps/>
              <w:color w:val="auto"/>
              <w:kern w:val="0"/>
              <w:sz w:val="20"/>
              <w:szCs w:val="20"/>
              <w14:ligatures w14:val="none"/>
            </w:rPr>
            <w:fldChar w:fldCharType="end"/>
          </w:r>
        </w:p>
        <w:p w14:paraId="5BF743FB">
          <w:pPr>
            <w:pStyle w:val="8"/>
            <w:tabs>
              <w:tab w:val="right" w:leader="dot" w:pos="8306"/>
            </w:tabs>
            <w:rPr>
              <w:rFonts w:hint="default" w:ascii="Times New Roman" w:hAnsi="Times New Roman" w:cs="Times New Roman"/>
              <w:b/>
              <w:bCs/>
              <w:sz w:val="20"/>
              <w:szCs w:val="20"/>
            </w:rPr>
          </w:pPr>
          <w:r>
            <w:rPr>
              <w:rFonts w:hint="default" w:ascii="Times New Roman" w:hAnsi="Times New Roman" w:cs="Times New Roman"/>
              <w:b/>
              <w:bCs/>
              <w:color w:val="auto"/>
              <w:sz w:val="20"/>
              <w:szCs w:val="20"/>
            </w:rPr>
            <w:fldChar w:fldCharType="begin"/>
          </w:r>
          <w:r>
            <w:rPr>
              <w:rFonts w:hint="default" w:ascii="Times New Roman" w:hAnsi="Times New Roman" w:cs="Times New Roman"/>
              <w:b/>
              <w:bCs/>
              <w:color w:val="auto"/>
              <w:sz w:val="20"/>
              <w:szCs w:val="20"/>
            </w:rPr>
            <w:instrText xml:space="preserve"> HYPERLINK \l _Toc4565 </w:instrText>
          </w:r>
          <w:r>
            <w:rPr>
              <w:rFonts w:hint="default" w:ascii="Times New Roman" w:hAnsi="Times New Roman" w:cs="Times New Roman"/>
              <w:b/>
              <w:bCs/>
              <w:color w:val="auto"/>
              <w:sz w:val="20"/>
              <w:szCs w:val="20"/>
            </w:rPr>
            <w:fldChar w:fldCharType="separate"/>
          </w:r>
          <w:r>
            <w:rPr>
              <w:rFonts w:hint="default" w:ascii="Times New Roman" w:hAnsi="Times New Roman" w:eastAsia="宋体" w:cs="Times New Roman"/>
              <w:b/>
              <w:bCs/>
              <w:iCs w:val="0"/>
              <w:caps/>
              <w:color w:val="auto"/>
              <w:kern w:val="0"/>
              <w:sz w:val="20"/>
              <w:szCs w:val="20"/>
              <w:lang w:val="en-ZA"/>
              <w14:ligatures w14:val="none"/>
            </w:rPr>
            <w:t>Main Report</w:t>
          </w:r>
          <w:r>
            <w:rPr>
              <w:rFonts w:hint="default" w:ascii="Times New Roman" w:hAnsi="Times New Roman" w:eastAsia="宋体" w:cs="Times New Roman"/>
              <w:b/>
              <w:bCs/>
              <w:iCs w:val="0"/>
              <w:caps/>
              <w:color w:val="auto"/>
              <w:kern w:val="0"/>
              <w:sz w:val="20"/>
              <w:szCs w:val="20"/>
              <w14:ligatures w14:val="none"/>
            </w:rPr>
            <w:tab/>
          </w:r>
          <w:r>
            <w:rPr>
              <w:rFonts w:hint="default" w:ascii="Times New Roman" w:hAnsi="Times New Roman" w:cs="Times New Roman"/>
              <w:b/>
              <w:bCs/>
              <w:color w:val="auto"/>
              <w:sz w:val="20"/>
              <w:szCs w:val="20"/>
            </w:rPr>
            <w:fldChar w:fldCharType="begin"/>
          </w:r>
          <w:r>
            <w:rPr>
              <w:rFonts w:hint="default" w:ascii="Times New Roman" w:hAnsi="Times New Roman" w:cs="Times New Roman"/>
              <w:b/>
              <w:bCs/>
              <w:color w:val="auto"/>
              <w:sz w:val="20"/>
              <w:szCs w:val="20"/>
            </w:rPr>
            <w:instrText xml:space="preserve"> PAGEREF _Toc4565 \h </w:instrText>
          </w:r>
          <w:r>
            <w:rPr>
              <w:rFonts w:hint="default" w:ascii="Times New Roman" w:hAnsi="Times New Roman" w:cs="Times New Roman"/>
              <w:b/>
              <w:bCs/>
              <w:color w:val="auto"/>
              <w:sz w:val="20"/>
              <w:szCs w:val="20"/>
            </w:rPr>
            <w:fldChar w:fldCharType="separate"/>
          </w:r>
          <w:r>
            <w:rPr>
              <w:rFonts w:hint="default" w:ascii="Times New Roman" w:hAnsi="Times New Roman" w:cs="Times New Roman"/>
              <w:b/>
              <w:bCs/>
              <w:color w:val="auto"/>
              <w:sz w:val="20"/>
              <w:szCs w:val="20"/>
            </w:rPr>
            <w:t>4</w:t>
          </w:r>
          <w:r>
            <w:rPr>
              <w:rFonts w:hint="default" w:ascii="Times New Roman" w:hAnsi="Times New Roman" w:cs="Times New Roman"/>
              <w:b/>
              <w:bCs/>
              <w:color w:val="auto"/>
              <w:sz w:val="20"/>
              <w:szCs w:val="20"/>
            </w:rPr>
            <w:fldChar w:fldCharType="end"/>
          </w:r>
          <w:r>
            <w:rPr>
              <w:rFonts w:hint="default" w:ascii="Times New Roman" w:hAnsi="Times New Roman" w:cs="Times New Roman"/>
              <w:b/>
              <w:bCs/>
              <w:color w:val="auto"/>
              <w:sz w:val="20"/>
              <w:szCs w:val="20"/>
            </w:rPr>
            <w:fldChar w:fldCharType="end"/>
          </w:r>
        </w:p>
        <w:p w14:paraId="591E64E2">
          <w:pPr>
            <w:pStyle w:val="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_Toc30164 </w:instrText>
          </w:r>
          <w:r>
            <w:rPr>
              <w:rFonts w:hint="default" w:ascii="Times New Roman" w:hAnsi="Times New Roman" w:cs="Times New Roman"/>
            </w:rPr>
            <w:fldChar w:fldCharType="separate"/>
          </w:r>
          <w:r>
            <w:rPr>
              <w:rFonts w:hint="default" w:ascii="Times New Roman" w:hAnsi="Times New Roman" w:cs="Times New Roman"/>
              <w:szCs w:val="24"/>
              <w:lang w:val="en-ZA"/>
            </w:rPr>
            <w:t xml:space="preserve">1. </w:t>
          </w:r>
          <w:r>
            <w:rPr>
              <w:rFonts w:hint="default" w:ascii="Times New Roman" w:hAnsi="Times New Roman" w:cs="Times New Roman"/>
              <w:szCs w:val="28"/>
              <w:lang w:val="en-ZA"/>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_Toc30164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D6D9EDE">
          <w:pPr>
            <w:pStyle w:val="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_Toc26256 </w:instrText>
          </w:r>
          <w:r>
            <w:rPr>
              <w:rFonts w:hint="default" w:ascii="Times New Roman" w:hAnsi="Times New Roman" w:cs="Times New Roman"/>
            </w:rPr>
            <w:fldChar w:fldCharType="separate"/>
          </w:r>
          <w:r>
            <w:rPr>
              <w:rFonts w:hint="default" w:ascii="Times New Roman" w:hAnsi="Times New Roman" w:cs="Times New Roman"/>
              <w:szCs w:val="24"/>
              <w:lang w:val="en-ZA"/>
            </w:rPr>
            <w:t xml:space="preserve">2. </w:t>
          </w:r>
          <w:r>
            <w:rPr>
              <w:rFonts w:hint="default" w:ascii="Times New Roman" w:hAnsi="Times New Roman" w:cs="Times New Roman"/>
              <w:szCs w:val="28"/>
              <w:lang w:val="en-ZA"/>
            </w:rPr>
            <w:t>Findings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_Toc26256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9C57ED4">
          <w:pPr>
            <w:pStyle w:val="5"/>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_Toc31840 </w:instrText>
          </w:r>
          <w:r>
            <w:rPr>
              <w:rFonts w:hint="default" w:ascii="Times New Roman" w:hAnsi="Times New Roman" w:cs="Times New Roman"/>
            </w:rPr>
            <w:fldChar w:fldCharType="separate"/>
          </w:r>
          <w:r>
            <w:rPr>
              <w:rFonts w:hint="default" w:ascii="Times New Roman" w:hAnsi="Times New Roman" w:cs="Times New Roman"/>
              <w:szCs w:val="24"/>
            </w:rPr>
            <w:t>2.1 The empirical problem: codes of ethics as weak behavioural interventions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_Toc31840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72C5FBB9">
          <w:pPr>
            <w:pStyle w:val="5"/>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_Toc2136 </w:instrText>
          </w:r>
          <w:r>
            <w:rPr>
              <w:rFonts w:hint="default" w:ascii="Times New Roman" w:hAnsi="Times New Roman" w:cs="Times New Roman"/>
            </w:rPr>
            <w:fldChar w:fldCharType="separate"/>
          </w:r>
          <w:r>
            <w:rPr>
              <w:rFonts w:hint="default" w:ascii="Times New Roman" w:hAnsi="Times New Roman" w:cs="Times New Roman"/>
              <w:szCs w:val="24"/>
              <w:lang w:val="en-ZA"/>
            </w:rPr>
            <w:t>2.2 Why codes fail in software engineering and AI development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393DA5E7">
          <w:pPr>
            <w:pStyle w:val="5"/>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_Toc11239 </w:instrText>
          </w:r>
          <w:r>
            <w:rPr>
              <w:rFonts w:hint="default" w:ascii="Times New Roman" w:hAnsi="Times New Roman" w:cs="Times New Roman"/>
            </w:rPr>
            <w:fldChar w:fldCharType="separate"/>
          </w:r>
          <w:r>
            <w:rPr>
              <w:rFonts w:hint="default" w:ascii="Times New Roman" w:hAnsi="Times New Roman" w:cs="Times New Roman"/>
              <w:szCs w:val="24"/>
              <w:lang w:val="en-ZA"/>
            </w:rPr>
            <w:t>2.3 From ethical principles to organizational decision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_Toc11239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036D7B41">
          <w:pPr>
            <w:pStyle w:val="5"/>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_Toc7107 </w:instrText>
          </w:r>
          <w:r>
            <w:rPr>
              <w:rFonts w:hint="default" w:ascii="Times New Roman" w:hAnsi="Times New Roman" w:cs="Times New Roman"/>
            </w:rPr>
            <w:fldChar w:fldCharType="separate"/>
          </w:r>
          <w:r>
            <w:rPr>
              <w:rFonts w:hint="default" w:ascii="Times New Roman" w:hAnsi="Times New Roman" w:cs="Times New Roman"/>
              <w:szCs w:val="24"/>
              <w:lang w:val="en-ZA"/>
            </w:rPr>
            <w:t>2.4 Specific organizational interventions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_Toc7107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62247C82">
          <w:pPr>
            <w:pStyle w:val="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_Toc27074 </w:instrText>
          </w:r>
          <w:r>
            <w:rPr>
              <w:rFonts w:hint="default" w:ascii="Times New Roman" w:hAnsi="Times New Roman" w:cs="Times New Roman"/>
            </w:rPr>
            <w:fldChar w:fldCharType="separate"/>
          </w:r>
          <w:r>
            <w:rPr>
              <w:rFonts w:hint="default" w:ascii="Times New Roman" w:hAnsi="Times New Roman" w:cs="Times New Roman"/>
              <w:szCs w:val="24"/>
              <w:lang w:val="en-ZA"/>
            </w:rPr>
            <w:t xml:space="preserve">3. </w:t>
          </w:r>
          <w:r>
            <w:rPr>
              <w:rFonts w:hint="default" w:ascii="Times New Roman" w:hAnsi="Times New Roman" w:cs="Times New Roman"/>
              <w:szCs w:val="28"/>
              <w:lang w:val="en-ZA"/>
            </w:rPr>
            <w:t>Conclusion and recommendations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_Toc27074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55F4838C">
          <w:pPr>
            <w:pStyle w:val="8"/>
            <w:tabs>
              <w:tab w:val="right" w:leader="dot" w:pos="8306"/>
            </w:tabs>
            <w:rPr>
              <w:rFonts w:hint="default" w:ascii="Times New Roman" w:hAnsi="Times New Roman" w:eastAsia="宋体" w:cs="Times New Roman"/>
              <w:b/>
              <w:bCs/>
              <w:iCs w:val="0"/>
              <w:caps/>
              <w:kern w:val="0"/>
              <w:sz w:val="20"/>
              <w:szCs w:val="20"/>
              <w:lang w:val="en-ZA"/>
              <w14:ligatures w14:val="none"/>
            </w:rPr>
          </w:pPr>
          <w:r>
            <w:rPr>
              <w:rFonts w:hint="default" w:ascii="Times New Roman" w:hAnsi="Times New Roman" w:eastAsia="宋体" w:cs="Times New Roman"/>
              <w:b/>
              <w:bCs/>
              <w:iCs w:val="0"/>
              <w:caps/>
              <w:kern w:val="0"/>
              <w:sz w:val="20"/>
              <w:szCs w:val="20"/>
              <w:lang w:val="en-ZA"/>
              <w14:ligatures w14:val="none"/>
            </w:rPr>
            <w:fldChar w:fldCharType="begin"/>
          </w:r>
          <w:r>
            <w:rPr>
              <w:rFonts w:hint="default" w:ascii="Times New Roman" w:hAnsi="Times New Roman" w:eastAsia="宋体" w:cs="Times New Roman"/>
              <w:b/>
              <w:bCs/>
              <w:iCs w:val="0"/>
              <w:caps/>
              <w:kern w:val="0"/>
              <w:sz w:val="20"/>
              <w:szCs w:val="20"/>
              <w:lang w:val="en-ZA"/>
              <w14:ligatures w14:val="none"/>
            </w:rPr>
            <w:instrText xml:space="preserve"> HYPERLINK \l _Toc24444 </w:instrText>
          </w:r>
          <w:r>
            <w:rPr>
              <w:rFonts w:hint="default" w:ascii="Times New Roman" w:hAnsi="Times New Roman" w:eastAsia="宋体" w:cs="Times New Roman"/>
              <w:b/>
              <w:bCs/>
              <w:iCs w:val="0"/>
              <w:caps/>
              <w:kern w:val="0"/>
              <w:sz w:val="20"/>
              <w:szCs w:val="20"/>
              <w:lang w:val="en-ZA"/>
              <w14:ligatures w14:val="none"/>
            </w:rPr>
            <w:fldChar w:fldCharType="separate"/>
          </w:r>
          <w:r>
            <w:rPr>
              <w:rFonts w:hint="eastAsia" w:ascii="Times New Roman" w:hAnsi="Times New Roman" w:eastAsia="宋体" w:cs="Times New Roman"/>
              <w:b/>
              <w:bCs/>
              <w:iCs w:val="0"/>
              <w:caps/>
              <w:kern w:val="0"/>
              <w:sz w:val="20"/>
              <w:szCs w:val="20"/>
              <w:lang w:val="en-ZA"/>
              <w14:ligatures w14:val="none"/>
            </w:rPr>
            <w:t>Acknowledgements/Resources</w:t>
          </w:r>
          <w:r>
            <w:rPr>
              <w:rFonts w:hint="default" w:ascii="Times New Roman" w:hAnsi="Times New Roman" w:eastAsia="宋体" w:cs="Times New Roman"/>
              <w:b/>
              <w:bCs/>
              <w:iCs w:val="0"/>
              <w:caps/>
              <w:kern w:val="0"/>
              <w:sz w:val="20"/>
              <w:szCs w:val="20"/>
              <w:lang w:val="en-ZA"/>
              <w14:ligatures w14:val="none"/>
            </w:rPr>
            <w:tab/>
          </w:r>
          <w:r>
            <w:rPr>
              <w:rFonts w:hint="default" w:ascii="Times New Roman" w:hAnsi="Times New Roman" w:eastAsia="宋体" w:cs="Times New Roman"/>
              <w:b/>
              <w:bCs/>
              <w:iCs w:val="0"/>
              <w:caps/>
              <w:kern w:val="0"/>
              <w:sz w:val="20"/>
              <w:szCs w:val="20"/>
              <w:lang w:val="en-ZA"/>
              <w14:ligatures w14:val="none"/>
            </w:rPr>
            <w:fldChar w:fldCharType="begin"/>
          </w:r>
          <w:r>
            <w:rPr>
              <w:rFonts w:hint="default" w:ascii="Times New Roman" w:hAnsi="Times New Roman" w:eastAsia="宋体" w:cs="Times New Roman"/>
              <w:b/>
              <w:bCs/>
              <w:iCs w:val="0"/>
              <w:caps/>
              <w:kern w:val="0"/>
              <w:sz w:val="20"/>
              <w:szCs w:val="20"/>
              <w:lang w:val="en-ZA"/>
              <w14:ligatures w14:val="none"/>
            </w:rPr>
            <w:instrText xml:space="preserve"> PAGEREF _Toc24444 \h </w:instrText>
          </w:r>
          <w:r>
            <w:rPr>
              <w:rFonts w:hint="default" w:ascii="Times New Roman" w:hAnsi="Times New Roman" w:eastAsia="宋体" w:cs="Times New Roman"/>
              <w:b/>
              <w:bCs/>
              <w:iCs w:val="0"/>
              <w:caps/>
              <w:kern w:val="0"/>
              <w:sz w:val="20"/>
              <w:szCs w:val="20"/>
              <w:lang w:val="en-ZA"/>
              <w14:ligatures w14:val="none"/>
            </w:rPr>
            <w:fldChar w:fldCharType="separate"/>
          </w:r>
          <w:r>
            <w:rPr>
              <w:rFonts w:hint="default" w:ascii="Times New Roman" w:hAnsi="Times New Roman" w:eastAsia="宋体" w:cs="Times New Roman"/>
              <w:b/>
              <w:bCs/>
              <w:iCs w:val="0"/>
              <w:caps/>
              <w:kern w:val="0"/>
              <w:sz w:val="20"/>
              <w:szCs w:val="20"/>
              <w:lang w:val="en-ZA"/>
              <w14:ligatures w14:val="none"/>
            </w:rPr>
            <w:t>14</w:t>
          </w:r>
          <w:r>
            <w:rPr>
              <w:rFonts w:hint="default" w:ascii="Times New Roman" w:hAnsi="Times New Roman" w:eastAsia="宋体" w:cs="Times New Roman"/>
              <w:b/>
              <w:bCs/>
              <w:iCs w:val="0"/>
              <w:caps/>
              <w:kern w:val="0"/>
              <w:sz w:val="20"/>
              <w:szCs w:val="20"/>
              <w:lang w:val="en-ZA"/>
              <w14:ligatures w14:val="none"/>
            </w:rPr>
            <w:fldChar w:fldCharType="end"/>
          </w:r>
          <w:r>
            <w:rPr>
              <w:rFonts w:hint="default" w:ascii="Times New Roman" w:hAnsi="Times New Roman" w:eastAsia="宋体" w:cs="Times New Roman"/>
              <w:b/>
              <w:bCs/>
              <w:iCs w:val="0"/>
              <w:caps/>
              <w:kern w:val="0"/>
              <w:sz w:val="20"/>
              <w:szCs w:val="20"/>
              <w:lang w:val="en-ZA"/>
              <w14:ligatures w14:val="none"/>
            </w:rPr>
            <w:fldChar w:fldCharType="end"/>
          </w:r>
        </w:p>
        <w:p w14:paraId="14DDFEA9">
          <w:pPr>
            <w:pStyle w:val="8"/>
            <w:tabs>
              <w:tab w:val="right" w:leader="dot" w:pos="8306"/>
            </w:tabs>
          </w:pPr>
          <w:r>
            <w:rPr>
              <w:rFonts w:hint="default" w:ascii="Times New Roman" w:hAnsi="Times New Roman" w:eastAsia="宋体" w:cs="Times New Roman"/>
              <w:b/>
              <w:bCs/>
              <w:iCs w:val="0"/>
              <w:caps/>
              <w:kern w:val="0"/>
              <w:sz w:val="20"/>
              <w:szCs w:val="20"/>
              <w:lang w:val="en-ZA"/>
              <w14:ligatures w14:val="none"/>
            </w:rPr>
            <w:fldChar w:fldCharType="begin"/>
          </w:r>
          <w:r>
            <w:rPr>
              <w:rFonts w:hint="default" w:ascii="Times New Roman" w:hAnsi="Times New Roman" w:eastAsia="宋体" w:cs="Times New Roman"/>
              <w:b/>
              <w:bCs/>
              <w:iCs w:val="0"/>
              <w:caps/>
              <w:kern w:val="0"/>
              <w:sz w:val="20"/>
              <w:szCs w:val="20"/>
              <w:lang w:val="en-ZA"/>
              <w14:ligatures w14:val="none"/>
            </w:rPr>
            <w:instrText xml:space="preserve"> HYPERLINK \l _Toc30173 </w:instrText>
          </w:r>
          <w:r>
            <w:rPr>
              <w:rFonts w:hint="default" w:ascii="Times New Roman" w:hAnsi="Times New Roman" w:eastAsia="宋体" w:cs="Times New Roman"/>
              <w:b/>
              <w:bCs/>
              <w:iCs w:val="0"/>
              <w:caps/>
              <w:kern w:val="0"/>
              <w:sz w:val="20"/>
              <w:szCs w:val="20"/>
              <w:lang w:val="en-ZA"/>
              <w14:ligatures w14:val="none"/>
            </w:rPr>
            <w:fldChar w:fldCharType="separate"/>
          </w:r>
          <w:r>
            <w:rPr>
              <w:rFonts w:hint="eastAsia" w:ascii="Times New Roman" w:hAnsi="Times New Roman" w:eastAsia="宋体" w:cs="Times New Roman"/>
              <w:b/>
              <w:bCs/>
              <w:iCs w:val="0"/>
              <w:caps/>
              <w:kern w:val="0"/>
              <w:sz w:val="20"/>
              <w:szCs w:val="20"/>
              <w:lang w:val="en-ZA"/>
              <w14:ligatures w14:val="none"/>
            </w:rPr>
            <w:t>References</w:t>
          </w:r>
          <w:r>
            <w:rPr>
              <w:rFonts w:hint="default" w:ascii="Times New Roman" w:hAnsi="Times New Roman" w:eastAsia="宋体" w:cs="Times New Roman"/>
              <w:b/>
              <w:bCs/>
              <w:iCs w:val="0"/>
              <w:caps/>
              <w:kern w:val="0"/>
              <w:sz w:val="20"/>
              <w:szCs w:val="20"/>
              <w:lang w:val="en-ZA"/>
              <w14:ligatures w14:val="none"/>
            </w:rPr>
            <w:tab/>
          </w:r>
          <w:r>
            <w:rPr>
              <w:rFonts w:hint="default" w:ascii="Times New Roman" w:hAnsi="Times New Roman" w:eastAsia="宋体" w:cs="Times New Roman"/>
              <w:b/>
              <w:bCs/>
              <w:iCs w:val="0"/>
              <w:caps/>
              <w:kern w:val="0"/>
              <w:sz w:val="20"/>
              <w:szCs w:val="20"/>
              <w:lang w:val="en-ZA"/>
              <w14:ligatures w14:val="none"/>
            </w:rPr>
            <w:fldChar w:fldCharType="begin"/>
          </w:r>
          <w:r>
            <w:rPr>
              <w:rFonts w:hint="default" w:ascii="Times New Roman" w:hAnsi="Times New Roman" w:eastAsia="宋体" w:cs="Times New Roman"/>
              <w:b/>
              <w:bCs/>
              <w:iCs w:val="0"/>
              <w:caps/>
              <w:kern w:val="0"/>
              <w:sz w:val="20"/>
              <w:szCs w:val="20"/>
              <w:lang w:val="en-ZA"/>
              <w14:ligatures w14:val="none"/>
            </w:rPr>
            <w:instrText xml:space="preserve"> PAGEREF _Toc30173 \h </w:instrText>
          </w:r>
          <w:r>
            <w:rPr>
              <w:rFonts w:hint="default" w:ascii="Times New Roman" w:hAnsi="Times New Roman" w:eastAsia="宋体" w:cs="Times New Roman"/>
              <w:b/>
              <w:bCs/>
              <w:iCs w:val="0"/>
              <w:caps/>
              <w:kern w:val="0"/>
              <w:sz w:val="20"/>
              <w:szCs w:val="20"/>
              <w:lang w:val="en-ZA"/>
              <w14:ligatures w14:val="none"/>
            </w:rPr>
            <w:fldChar w:fldCharType="separate"/>
          </w:r>
          <w:r>
            <w:rPr>
              <w:rFonts w:hint="default" w:ascii="Times New Roman" w:hAnsi="Times New Roman" w:eastAsia="宋体" w:cs="Times New Roman"/>
              <w:b/>
              <w:bCs/>
              <w:iCs w:val="0"/>
              <w:caps/>
              <w:kern w:val="0"/>
              <w:sz w:val="20"/>
              <w:szCs w:val="20"/>
              <w:lang w:val="en-ZA"/>
              <w14:ligatures w14:val="none"/>
            </w:rPr>
            <w:t>16</w:t>
          </w:r>
          <w:r>
            <w:rPr>
              <w:rFonts w:hint="default" w:ascii="Times New Roman" w:hAnsi="Times New Roman" w:eastAsia="宋体" w:cs="Times New Roman"/>
              <w:b/>
              <w:bCs/>
              <w:iCs w:val="0"/>
              <w:caps/>
              <w:kern w:val="0"/>
              <w:sz w:val="20"/>
              <w:szCs w:val="20"/>
              <w:lang w:val="en-ZA"/>
              <w14:ligatures w14:val="none"/>
            </w:rPr>
            <w:fldChar w:fldCharType="end"/>
          </w:r>
          <w:r>
            <w:rPr>
              <w:rFonts w:hint="default" w:ascii="Times New Roman" w:hAnsi="Times New Roman" w:eastAsia="宋体" w:cs="Times New Roman"/>
              <w:b/>
              <w:bCs/>
              <w:iCs w:val="0"/>
              <w:caps/>
              <w:kern w:val="0"/>
              <w:sz w:val="20"/>
              <w:szCs w:val="20"/>
              <w:lang w:val="en-ZA"/>
              <w14:ligatures w14:val="none"/>
            </w:rPr>
            <w:fldChar w:fldCharType="end"/>
          </w:r>
        </w:p>
        <w:p w14:paraId="04F3D477">
          <w:pPr>
            <w:tabs>
              <w:tab w:val="left" w:pos="3600"/>
            </w:tabs>
            <w:rPr>
              <w:rFonts w:hint="default" w:eastAsia="宋体"/>
              <w:bCs/>
              <w:iCs w:val="0"/>
              <w:lang w:val="en-US" w:eastAsia="zh-CN"/>
            </w:rPr>
            <w:sectPr>
              <w:pgSz w:w="11906" w:h="16838"/>
              <w:pgMar w:top="1440" w:right="1800" w:bottom="1440" w:left="1800" w:header="851" w:footer="992" w:gutter="0"/>
              <w:cols w:space="425" w:num="1"/>
              <w:docGrid w:type="lines" w:linePitch="312" w:charSpace="0"/>
            </w:sectPr>
          </w:pPr>
          <w:r>
            <w:fldChar w:fldCharType="end"/>
          </w:r>
        </w:p>
      </w:sdtContent>
    </w:sdt>
    <w:p w14:paraId="3318FC1D">
      <w:pPr>
        <w:pStyle w:val="2"/>
        <w:bidi w:val="0"/>
        <w:rPr>
          <w:rFonts w:hint="default"/>
          <w:lang w:val="en-ZA"/>
        </w:rPr>
      </w:pPr>
      <w:bookmarkStart w:id="0" w:name="_Toc18753"/>
      <w:r>
        <w:rPr>
          <w:rFonts w:hint="default"/>
          <w:lang w:val="en-ZA"/>
        </w:rPr>
        <w:t>Executive Summary</w:t>
      </w:r>
      <w:bookmarkEnd w:id="0"/>
    </w:p>
    <w:p w14:paraId="6709884F">
      <w:pPr>
        <w:ind w:firstLine="440" w:firstLineChars="200"/>
        <w:rPr>
          <w:rFonts w:hint="default" w:ascii="Times New Roman" w:hAnsi="Times New Roman" w:cs="Times New Roman"/>
          <w:szCs w:val="22"/>
        </w:rPr>
      </w:pPr>
      <w:r>
        <w:rPr>
          <w:rFonts w:hint="default" w:ascii="Times New Roman" w:hAnsi="Times New Roman" w:cs="Times New Roman"/>
          <w:szCs w:val="22"/>
        </w:rPr>
        <w:t>Existing codes of ethics in software engineering and AI development have limited influence on actual engineering decisions because they usually operate as abstract, non-binding documents rather than as enforceable decision systems. The central issue is not that software engineers are inherently indifferent to ethics, but that ethical principles are often disconnected from the technical, economic and organizational contexts in which engineers make decisions. Empirical work by McNamara, Smith, and Murphy-Hill (2018) found no statistically significant difference in ethical decisions between software developers who were exposed to the ACM Code of Ethics and those who were not. This “almost zero” effect is consistent with Hagendorff’s (2020) broader critique that AI ethics guidelines often remain symbolic, aspirational and poorly connected to implementation.</w:t>
      </w:r>
    </w:p>
    <w:p w14:paraId="29DAA9F4">
      <w:pPr>
        <w:ind w:firstLine="440" w:firstLineChars="200"/>
        <w:rPr>
          <w:rFonts w:hint="default" w:ascii="Times New Roman" w:hAnsi="Times New Roman" w:cs="Times New Roman"/>
          <w:szCs w:val="22"/>
        </w:rPr>
      </w:pPr>
      <w:r>
        <w:rPr>
          <w:rFonts w:hint="default" w:ascii="Times New Roman" w:hAnsi="Times New Roman" w:cs="Times New Roman"/>
          <w:szCs w:val="22"/>
        </w:rPr>
        <w:t>This report argues that ethical codes can become effective only when organizations convert them into decision architecture: mandatory governance processes, documented accountability, internal algorithmic audits, model and dataset documentation, protected escalation channels, and incentive systems that reward responsible engineering. Drawing on Burton et al. (2017), Gebru et al. (2021), Mitchell et al. (2019), Raji et al. (2020), NIST (2023), OECD (2024), and the European Commission (2024), the report concludes that the most effective interventions are not merely educational or declarative. They must change the conditions under which engineers act. Responsible AI requires organizations to embed ethics into software development lifecycles, risk management, deployment approval, monitoring and professional culture.</w:t>
      </w:r>
    </w:p>
    <w:p w14:paraId="67745A58">
      <w:pPr>
        <w:pStyle w:val="2"/>
        <w:bidi w:val="0"/>
        <w:rPr>
          <w:rFonts w:hint="default" w:ascii="Times New Roman" w:hAnsi="Times New Roman" w:cs="Times New Roman"/>
          <w:lang w:val="en-ZA"/>
        </w:rPr>
      </w:pPr>
      <w:bookmarkStart w:id="1" w:name="_Toc4565"/>
      <w:r>
        <w:rPr>
          <w:rFonts w:hint="default" w:ascii="Times New Roman" w:hAnsi="Times New Roman" w:cs="Times New Roman"/>
          <w:lang w:val="en-ZA"/>
        </w:rPr>
        <w:t>Main Report</w:t>
      </w:r>
      <w:bookmarkEnd w:id="1"/>
    </w:p>
    <w:p w14:paraId="7BE73B41">
      <w:pPr>
        <w:pStyle w:val="3"/>
        <w:numPr>
          <w:ilvl w:val="0"/>
          <w:numId w:val="1"/>
        </w:numPr>
        <w:bidi w:val="0"/>
        <w:rPr>
          <w:rFonts w:hint="default" w:ascii="Times New Roman" w:hAnsi="Times New Roman" w:cs="Times New Roman"/>
          <w:sz w:val="28"/>
          <w:szCs w:val="28"/>
          <w:lang w:val="en-ZA"/>
        </w:rPr>
      </w:pPr>
      <w:bookmarkStart w:id="2" w:name="_Toc30164"/>
      <w:r>
        <w:rPr>
          <w:rFonts w:hint="default" w:ascii="Times New Roman" w:hAnsi="Times New Roman" w:cs="Times New Roman"/>
          <w:b/>
          <w:sz w:val="28"/>
          <w:szCs w:val="28"/>
          <w:lang w:val="en-ZA"/>
        </w:rPr>
        <w:t>In</w:t>
      </w:r>
      <w:r>
        <w:rPr>
          <w:rFonts w:hint="default" w:ascii="Times New Roman" w:hAnsi="Times New Roman" w:cs="Times New Roman"/>
          <w:sz w:val="28"/>
          <w:szCs w:val="28"/>
          <w:lang w:val="en-ZA"/>
        </w:rPr>
        <w:t>troduction</w:t>
      </w:r>
      <w:bookmarkEnd w:id="2"/>
    </w:p>
    <w:p w14:paraId="4E6691D0">
      <w:pPr>
        <w:ind w:firstLine="440" w:firstLineChars="200"/>
        <w:rPr>
          <w:rFonts w:hint="eastAsia" w:ascii="Times New Roman" w:hAnsi="Times New Roman" w:eastAsia="Times New Roman" w:cs="Times New Roman"/>
          <w:szCs w:val="22"/>
        </w:rPr>
      </w:pPr>
      <w:r>
        <w:rPr>
          <w:rFonts w:hint="eastAsia" w:ascii="Times New Roman" w:hAnsi="Times New Roman" w:eastAsia="Times New Roman" w:cs="Times New Roman"/>
          <w:szCs w:val="22"/>
        </w:rPr>
        <w:t>The increasing deployment of artificial intelligence systems has transformed software engineering from a predominantly technical discipline into a sociotechnical practice with direct consequences for individuals, institutions and democratic societies. AI systems now support or automate decisions in employment, credit, policing, healthcare, education, welfare allocation, advertising and public administration. As a result, the ethical conduct of software engineers is no longer limited to questions such as code quality, intellectual property or security. It also concerns fairness, accountability, transparency, privacy, human autonomy, safety, explainability and the distribution of social harms.</w:t>
      </w:r>
    </w:p>
    <w:p w14:paraId="1827536B">
      <w:pPr>
        <w:ind w:firstLine="440" w:firstLineChars="200"/>
        <w:rPr>
          <w:rFonts w:hint="eastAsia" w:ascii="Times New Roman" w:hAnsi="Times New Roman" w:eastAsia="Times New Roman" w:cs="Times New Roman"/>
          <w:szCs w:val="22"/>
        </w:rPr>
      </w:pPr>
      <w:r>
        <w:rPr>
          <w:rFonts w:hint="eastAsia" w:ascii="Times New Roman" w:hAnsi="Times New Roman" w:eastAsia="Times New Roman" w:cs="Times New Roman"/>
          <w:szCs w:val="22"/>
        </w:rPr>
        <w:t>In response to these concerns, professional associations, companies, governments and international organizations have produced numerous codes of ethics, AI principles and responsible AI guidelines. Jobin, Ienca, and Vayena (2019) show that many AI ethics guidelines converge around principles such as transparency, justice, fairness, non-maleficence, responsibility and privacy. Similarly, the OECD AI Principles emphasize human rights, democratic values, transparency, robustness, security, safety and accountability (OECD, 2024). NIST’s AI Risk Management Framework also provides a structured approach for managing AI risks across governance, mapping, measurement and management functions (National Institute of Standards and Technology [NIST], 2023). The European Union’s AI Act further illustrates a regulatory movement from voluntary ethics toward risk-based legal obligations, especially for high-risk AI systems (European Commission, 2024).</w:t>
      </w:r>
    </w:p>
    <w:p w14:paraId="7B38542F">
      <w:pPr>
        <w:ind w:firstLine="440" w:firstLineChars="200"/>
        <w:rPr>
          <w:rFonts w:hint="eastAsia" w:ascii="Times New Roman" w:hAnsi="Times New Roman" w:eastAsia="Times New Roman" w:cs="Times New Roman"/>
          <w:szCs w:val="22"/>
        </w:rPr>
      </w:pPr>
      <w:r>
        <w:rPr>
          <w:rFonts w:hint="eastAsia" w:ascii="Times New Roman" w:hAnsi="Times New Roman" w:eastAsia="Times New Roman" w:cs="Times New Roman"/>
          <w:szCs w:val="22"/>
        </w:rPr>
        <w:t>However, the existence of ethical codes does not guarantee ethical engineering practice. The topic of this report focuses on a central paradox: if codes of ethics are designed to guide professional decision-making, why do they appear to have “almost zero” impact on the actual decisions of software engineers? McNamara et al. (2018) directly examined whether exposure to the ACM Code of Ethics changed ethical decision-making among students and professional software developers. Their results showed no statistically significant behavioural effect. This finding does not mean that ethics is irrelevant to software engineering. Rather, it indicates that codes of ethics are ineffective when they are treated as passive documents rather than as active organizational mechanisms.</w:t>
      </w:r>
    </w:p>
    <w:p w14:paraId="3B978D7B">
      <w:pPr>
        <w:ind w:firstLine="440" w:firstLineChars="200"/>
        <w:rPr>
          <w:rFonts w:hint="eastAsia" w:ascii="Times New Roman" w:hAnsi="Times New Roman" w:eastAsia="Times New Roman" w:cs="Times New Roman"/>
          <w:szCs w:val="22"/>
        </w:rPr>
      </w:pPr>
      <w:r>
        <w:rPr>
          <w:rFonts w:hint="eastAsia" w:ascii="Times New Roman" w:hAnsi="Times New Roman" w:eastAsia="Times New Roman" w:cs="Times New Roman"/>
          <w:szCs w:val="22"/>
        </w:rPr>
        <w:t>This report argues that ethical codes fail primarily because they are abstract, weakly enforced, poorly integrated into engineering workflows, misaligned with business incentives, and unable by themselves to overcome diffusion of responsibility in complex technical organizations. The report further argues that effective change requires a shift from “ethics as a document” to “ethics as decision architecture.” In this approach, ethical principles are translated into specific roles, evidence requirements, approval gates, audit processes, documentation practices, escalation rights and post-deployment monitoring systems.</w:t>
      </w:r>
    </w:p>
    <w:p w14:paraId="3E7A3F92">
      <w:pPr>
        <w:ind w:firstLine="440" w:firstLineChars="200"/>
        <w:rPr>
          <w:rFonts w:hint="eastAsia" w:ascii="Times New Roman" w:hAnsi="Times New Roman" w:eastAsia="Times New Roman" w:cs="Times New Roman"/>
          <w:szCs w:val="22"/>
        </w:rPr>
      </w:pPr>
      <w:r>
        <w:rPr>
          <w:rFonts w:hint="eastAsia" w:ascii="Times New Roman" w:hAnsi="Times New Roman" w:eastAsia="Times New Roman" w:cs="Times New Roman"/>
          <w:szCs w:val="22"/>
        </w:rPr>
        <w:t xml:space="preserve">The methodology of this report is a qualitative literature synthesis. The analysis draws on the two base documents for the assignment—Burton et al. (2017) and Hagendorff (2020)—and integrates additional peer-reviewed and institutional sources on AI ethics guidelines, dataset documentation, model reporting, algorithmic auditing, risk management and AI regulation. The scope is limited to software engineers and AI practitioners working within organizations. The report </w:t>
      </w:r>
      <w:r>
        <w:rPr>
          <w:rFonts w:hint="eastAsia" w:ascii="Times New Roman" w:hAnsi="Times New Roman" w:eastAsia="宋体" w:cs="Times New Roman"/>
          <w:szCs w:val="22"/>
          <w:lang w:val="en-US" w:eastAsia="zh-CN"/>
        </w:rPr>
        <w:t>aims to</w:t>
      </w:r>
      <w:r>
        <w:rPr>
          <w:rFonts w:hint="eastAsia" w:ascii="Times New Roman" w:hAnsi="Times New Roman" w:eastAsia="Times New Roman" w:cs="Times New Roman"/>
          <w:szCs w:val="22"/>
        </w:rPr>
        <w:t xml:space="preserve"> focuse specifically on why professional ethical codes fail to shape decisions and which organizational interventions could make them practically effective.</w:t>
      </w:r>
    </w:p>
    <w:p w14:paraId="0BBAC49A">
      <w:pPr>
        <w:pStyle w:val="3"/>
        <w:numPr>
          <w:ilvl w:val="0"/>
          <w:numId w:val="1"/>
        </w:numPr>
        <w:bidi w:val="0"/>
        <w:rPr>
          <w:rFonts w:hint="eastAsia" w:ascii="Times New Roman" w:hAnsi="Times New Roman" w:cs="Times New Roman"/>
          <w:b/>
          <w:sz w:val="28"/>
          <w:szCs w:val="28"/>
          <w:lang w:val="en-ZA"/>
        </w:rPr>
      </w:pPr>
      <w:bookmarkStart w:id="3" w:name="_Toc26256"/>
      <w:r>
        <w:rPr>
          <w:rFonts w:hint="eastAsia" w:ascii="Times New Roman" w:hAnsi="Times New Roman" w:cs="Times New Roman"/>
          <w:b/>
          <w:sz w:val="28"/>
          <w:szCs w:val="28"/>
          <w:lang w:val="en-ZA"/>
        </w:rPr>
        <w:t>Findings</w:t>
      </w:r>
      <w:bookmarkEnd w:id="3"/>
    </w:p>
    <w:p w14:paraId="0C3E7F93">
      <w:pPr>
        <w:pStyle w:val="4"/>
        <w:bidi w:val="0"/>
        <w:rPr>
          <w:rFonts w:hint="default" w:ascii="Times New Roman" w:hAnsi="Times New Roman" w:cs="Times New Roman"/>
          <w:sz w:val="24"/>
          <w:szCs w:val="24"/>
        </w:rPr>
      </w:pPr>
      <w:bookmarkStart w:id="4" w:name="_Toc31840"/>
      <w:r>
        <w:rPr>
          <w:rFonts w:hint="default" w:ascii="Times New Roman" w:hAnsi="Times New Roman" w:cs="Times New Roman"/>
          <w:sz w:val="24"/>
          <w:szCs w:val="24"/>
        </w:rPr>
        <w:t>2.1 The empirical problem: codes of ethics as weak behavioural interventions</w:t>
      </w:r>
      <w:bookmarkEnd w:id="4"/>
    </w:p>
    <w:p w14:paraId="114A71B4">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strongest empirical basis for the claim that ethical codes have “almost zero” impact is provided by McNamara et al. (2018). Their study investigated whether the ACM Code of Ethics affected software-related ethical decisions. Participants were presented with ethical vignettes involving issues such as user data collection, code quality, intellectual property, honesty toward customers, reporting responsibility, and project management. The study found no statistically significant difference between participants who saw the code and those who did not.</w:t>
      </w:r>
    </w:p>
    <w:p w14:paraId="3A9A44F5">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This result is important because it challenges a common assumption in professional ethics: that exposure to a code can meaningfully alter conduct. The evidence suggests that simply presenting engineers with a professional code does not reliably change how they evaluate concrete scenarios. The implication is not that codes are useless in every respect. Codes can define professional ideals, support education, provide vocabulary for ethical discussion, and signal institutional commitments. Yet, as behavioural interventions, they are weak when detached from incentives, authority structures and everyday engineering practice.</w:t>
      </w:r>
    </w:p>
    <w:p w14:paraId="5603796A">
      <w:pPr>
        <w:ind w:firstLine="440" w:firstLineChars="200"/>
        <w:rPr>
          <w:rFonts w:hint="eastAsia" w:ascii="Times New Roman" w:hAnsi="Times New Roman" w:eastAsia="Times New Roman" w:cs="Times New Roman"/>
          <w:szCs w:val="22"/>
          <w:lang w:val="en-ZA"/>
        </w:rPr>
      </w:pPr>
    </w:p>
    <w:p w14:paraId="3FA39CCE">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Hagendorff (2020) offers a broader theoretical explanation for this weakness. He argues that AI ethics guidelines often lack mechanisms of enforcement. Ethical principles may produce reputational pressure, but they usually do not impose material consequences on organizations or individuals who ignore them. Moreover, AI ethics can become attractive to companies precisely because it is less binding than legal regulation. In this sense, ethical codes may function as a form of self-governance that reassures the public while allowing existing business practices to continue.</w:t>
      </w:r>
    </w:p>
    <w:p w14:paraId="66637C8A">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problem is therefore structural. Ethical codes are often framed at a high level of abstraction, while engineering decisions occur in concrete contexts: selecting datasets, defining performance metrics, optimizing recommender systems, setting thresholds, shipping features under time pressure, or deciding whether a model is sufficiently safe for deployment. The ethical code may say “respect privacy” or “avoid harm,” but it may not specify what an engineer should do when a product manager asks for additional user tracking to improve engagement, or when a model performs well on aggregate accuracy but poorly for a minority subgroup.</w:t>
      </w:r>
    </w:p>
    <w:p w14:paraId="774605E4">
      <w:pPr>
        <w:pStyle w:val="4"/>
        <w:bidi w:val="0"/>
        <w:jc w:val="left"/>
        <w:rPr>
          <w:rFonts w:hint="eastAsia" w:ascii="Times New Roman" w:hAnsi="Times New Roman" w:cs="Times New Roman"/>
          <w:sz w:val="24"/>
          <w:szCs w:val="24"/>
          <w:lang w:val="en-ZA"/>
        </w:rPr>
      </w:pPr>
      <w:bookmarkStart w:id="5" w:name="_Toc2136"/>
      <w:r>
        <w:rPr>
          <w:rFonts w:hint="eastAsia" w:ascii="Times New Roman" w:hAnsi="Times New Roman" w:cs="Times New Roman"/>
          <w:sz w:val="24"/>
          <w:szCs w:val="24"/>
          <w:lang w:val="en-ZA"/>
        </w:rPr>
        <w:t>2.2 Why codes fail in software engineering and AI development</w:t>
      </w:r>
      <w:bookmarkEnd w:id="5"/>
    </w:p>
    <w:p w14:paraId="722AF0A2">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first reason codes fail is abstraction. Many AI ethics frameworks converge on broad values, but broad values require translation before they can guide action. Jobin et al. (2019) show that principles such as transparency and fairness appear frequently across guidelines, yet the interpretation and implementation of these principles remain inconsistent. For engineers, “fairness” may require a mathematical metric, a data governance process, stakeholder consultation, or a legal compliance analysis. Without organizational translation, the principle remains normatively attractive but operationally ambiguous.</w:t>
      </w:r>
    </w:p>
    <w:p w14:paraId="5B02DE22">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second reason is weak enforcement. Hagendorff (2020) argues that ethics lacks strong reinforcement mechanisms. In software companies, the consequences for missing a delivery deadline are often immediate, while the consequences for ignoring abstract ethical concerns may be delayed, uncertain or invisible. This creates a predictable asymmetry: engineers and managers are incentivized to prioritize measurable product goals over ethical risks that are difficult to quantify. Business speed, market competition and performance metrics may therefore override ethical reflection.</w:t>
      </w:r>
    </w:p>
    <w:p w14:paraId="1FA3FA01">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third reason is that software development is distributed. Modern AI systems are rarely built by a single engineer who understands the entire system. They are produced by teams responsible for data pipelines, model design, backend infrastructure, frontend integration, evaluation, product strategy, legal review and deployment operations. This distributed structure creates diffusion of responsibility. An engineer may believe that privacy is the legal team’s responsibility, fairness is the data science team’s responsibility, user impact is the product team’s responsibility, and compliance is management’s responsibility. As a result, no individual experiences full accountability for the downstream consequences of the system.</w:t>
      </w:r>
    </w:p>
    <w:p w14:paraId="0C8EDF75">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fourth reason is that ethical codes are often outside the software development lifecycle. They are read during onboarding, referenced in corporate values statements, or used in training modules, but they are not embedded into code review, model evaluation, release approval, incident response or performance review. An engineer making a deployment decision may have access to unit tests, performance dashboards and security checks, but not to a mandatory ethical impact checklist or independent review process. The organization has operationalized reliability and speed, but not ethical responsibility.</w:t>
      </w:r>
    </w:p>
    <w:p w14:paraId="40278FD2">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fifth reason concerns the limitations of rule-based ethics. Burton et al. (2017) emphasize that AI ethics education should expose students to multiple ethical theories, including deontology, utilitarianism and virtue ethics. This matters because codes of ethics are often deontological: they define duties, rules or principles. Yet real engineering decisions often involve trade-offs among competing values. For example, improving model accuracy may require more data collection, but more data collection may increase privacy risk. Increasing explainability may reduce performance in certain systems. Personalization may improve user experience while increasing manipulation risk. A code can identify relevant values, but it cannot always resolve context-specific trade-offs.</w:t>
      </w:r>
    </w:p>
    <w:p w14:paraId="095CD342">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This is where virtue ethics becomes relevant. Burton et al. (2017) describe virtue ethics as concerned with the kind of person one should become and with practical wisdom in context. Hagendorff (2020) similarly argues that AI ethics should move beyond checkbox compliance toward technomoral virtues such as honesty, justice, courage, empathy and care. For software engineers, this means that ethical decision-making cannot depend only on rules. It also requires cultivated professional judgment: the ability to recognize morally significant situations, ask uncomfortable questions, resist unethical pressure, and take responsibility for foreseeable consequences.</w:t>
      </w:r>
    </w:p>
    <w:p w14:paraId="51FBB4F6">
      <w:pPr>
        <w:pStyle w:val="4"/>
        <w:bidi w:val="0"/>
        <w:jc w:val="left"/>
        <w:rPr>
          <w:rFonts w:hint="eastAsia" w:ascii="Times New Roman" w:hAnsi="Times New Roman" w:cs="Times New Roman"/>
          <w:sz w:val="24"/>
          <w:szCs w:val="24"/>
          <w:lang w:val="en-ZA"/>
        </w:rPr>
      </w:pPr>
      <w:bookmarkStart w:id="6" w:name="_Toc11239"/>
      <w:r>
        <w:rPr>
          <w:rFonts w:hint="eastAsia" w:ascii="Times New Roman" w:hAnsi="Times New Roman" w:cs="Times New Roman"/>
          <w:sz w:val="24"/>
          <w:szCs w:val="24"/>
          <w:lang w:val="en-ZA"/>
        </w:rPr>
        <w:t>2.3 From ethical principles to organizational decision architecture</w:t>
      </w:r>
      <w:bookmarkEnd w:id="6"/>
    </w:p>
    <w:p w14:paraId="0D579EF8">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If ethical codes have little impact when they remain passive documents, the solution is not to abandon codes but to change their institutional function. Ethical principles should become part of organizational decision architecture. Decision architecture refers to the formal and informal structures that shape how people make choices: roles, incentives, review gates, documentation requirements, approval authority, metrics, escalation channels and accountability mechanisms.</w:t>
      </w:r>
    </w:p>
    <w:p w14:paraId="22DBDB4F">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NIST AI RMF is useful because it translates trustworthy AI into organizational functions: govern, map, measure and manage (NIST, 2023). These functions imply that AI risk is not merely a matter of individual conscience. It must be governed through policies and responsibility structures, mapped through contextual analysis, measured through testing and evaluation, and managed through risk responses and monitoring. This framework aligns with the core argument of this report: responsible AI requires systems of action, not merely statements of value.</w:t>
      </w:r>
    </w:p>
    <w:p w14:paraId="2D48138A">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Similarly, the OECD AI Principles provide values-based guidance for trustworthy AI, but their practical relevance depends on whether organizations can implement human-centred values, transparency, robustness and accountability in their development processes (OECD, 2024). The European Commission’s AI Act reinforces this movement by introducing legally relevant obligations for high-risk AI systems, such as risk management, data quality, technical documentation, transparency, human oversight and monitoring (European Commission, 2024). Although not all organizations operate directly under EU jurisdiction, the Act illustrates a broader global shift from voluntary principles to auditable obligations.</w:t>
      </w:r>
    </w:p>
    <w:p w14:paraId="485DF8FF">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Documentation practices are one of the clearest examples of ethics becoming operational. Gebru et al. (2021) propose datasheets for datasets to document dataset motivation, composition, collection processes, preprocessing, uses, distribution and maintenance. This intervention changes engineering decisions because it requires teams to make explicit what is often implicit. A dataset is no longer treated as neutral raw material. It becomes an object with history, limitations, potential biases and appropriate use conditions. Similarly, Mitchell et al. (2019) propose model cards to report model details, intended use, evaluation data, performance across groups, ethical considerations and limitations. Model cards can help prevent the misleading presentation of models as universally reliable when their performance is context-dependent.</w:t>
      </w:r>
    </w:p>
    <w:p w14:paraId="50958BD1">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Algorithmic auditing provides another bridge between ethical principles and practice. Raji et al. (2020) argue for an end-to-end framework for internal algorithmic auditing. Such audits can identify risks across the AI lifecycle, from problem formulation and data collection to model evaluation, deployment and monitoring. Auditing is important because it introduces evidence, traceability and review. Instead of asking whether a team “cares about fairness,” an audit asks whether the team has tested subgroup performance, documented risks, mitigated harms, recorded decisions and established accountability for residual risks.</w:t>
      </w:r>
    </w:p>
    <w:p w14:paraId="0F86455A">
      <w:pPr>
        <w:pStyle w:val="4"/>
        <w:bidi w:val="0"/>
        <w:jc w:val="left"/>
        <w:rPr>
          <w:rFonts w:hint="eastAsia" w:ascii="Times New Roman" w:hAnsi="Times New Roman" w:cs="Times New Roman"/>
          <w:sz w:val="24"/>
          <w:szCs w:val="24"/>
          <w:lang w:val="en-ZA"/>
        </w:rPr>
      </w:pPr>
      <w:bookmarkStart w:id="7" w:name="_Toc7107"/>
      <w:r>
        <w:rPr>
          <w:rFonts w:hint="eastAsia" w:ascii="Times New Roman" w:hAnsi="Times New Roman" w:cs="Times New Roman"/>
          <w:sz w:val="24"/>
          <w:szCs w:val="24"/>
          <w:lang w:val="en-ZA"/>
        </w:rPr>
        <w:t>2.4 Specific organizational interventions</w:t>
      </w:r>
      <w:bookmarkEnd w:id="7"/>
    </w:p>
    <w:p w14:paraId="2A9A4756">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first intervention is mandatory AI ethics and risk review at key development gates. Organizations should require review before data collection, model training, user testing and deployment. This review should not be advisory only; it should have authority to delay or block release when risks are inadequately addressed. The review body should include engineering, product, legal, security, data governance and domain experts. For high-impact systems, it should also include external or independent reviewers. This transforms ethics from a voluntary reflection into a release condition.</w:t>
      </w:r>
    </w:p>
    <w:p w14:paraId="27219A73">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second intervention is a clear accountability structure. Every AI system should have an accountable owner responsible for ethical and safety risks throughout the system lifecycle. This does not mean blaming one engineer for all outcomes. Rather, it means assigning decision rights and responsibilities so that risks cannot disappear between teams. A RACI-style framework—responsible, accountable, consulted and informed—should be used for data approval, model evaluation, deployment decisions, monitoring and incident response. This reduces diffusion of responsibility by making accountability visible.</w:t>
      </w:r>
    </w:p>
    <w:p w14:paraId="0F087388">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third intervention is mandatory dataset and model documentation. Datasheets for datasets and model cards should be required for all AI systems that affect users or stakeholders. These documents should be living artefacts updated when data, models or use contexts change. They should be reviewed during deployment approval and made available to internal governance teams. Where appropriate, public-facing summaries should be provided to users, clients or regulators. This intervention changes decision-making by requiring engineers to confront limitations, intended uses and foreseeable misuse before release.</w:t>
      </w:r>
    </w:p>
    <w:p w14:paraId="5A2FAB76">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fourth intervention is internal algorithmic auditing. Following Raji et al. (2020), organizations should conduct audits across the AI lifecycle rather than only after public controversy. Audits should evaluate data provenance, model performance, subgroup disparities, privacy risks, explainability, security, human oversight, failure modes and user impact. Importantly, audit teams should have sufficient independence from product teams. If the same team that is rewarded for shipping a model is also responsible for declaring it safe, conflicts of interest are likely. Independent audit functions create organizational friction where friction is ethically necessary.</w:t>
      </w:r>
    </w:p>
    <w:p w14:paraId="690136AC">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fifth intervention is incentive alignment. Engineers are often evaluated on delivery speed, technical performance and product impact. Responsible AI will remain secondary if ethical behaviour is not part of promotion, performance review and team objectives. Organizations should treat ethical risk reduction as a measurable professional contribution. For example, identifying a biased dataset, delaying deployment for safety reasons, improving documentation, or escalating a user harm concern should be recognized as valuable engineering work. Ethical responsibility should not be career-risking behaviour.</w:t>
      </w:r>
    </w:p>
    <w:p w14:paraId="5A72BBEF">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sixth intervention is protected escalation and whistleblowing. Engineers must have safe channels to raise ethical concerns without retaliation. These channels should include confidential reporting, escalation to independent governance bodies, and documented response obligations. In severe cases, organizations should create stop-work authority for systems that pose significant risk to safety, rights or public welfare. Without protected voice, codes of ethics place moral responsibility on engineers while denying them institutional power.</w:t>
      </w:r>
    </w:p>
    <w:p w14:paraId="1B914059">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seventh intervention is case-based ethics education integrated into technical practice. Burton et al. (2017) argue that AI ethics education should help students and practitioners reason through concrete cases using multiple ethical theories. In organizations, this education should not be a generic annual compliance module. It should be linked to actual engineering scenarios: biased training data, deceptive interface design, model drift, surveillance features, unsafe automation, content recommendation harms, and misleading performance reporting. Training should cultivate practical judgment, not only rule memorization.</w:t>
      </w:r>
    </w:p>
    <w:p w14:paraId="175FE719">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eighth intervention is post-deployment monitoring and user redress. Ethical review before deployment is insufficient because AI systems can behave differently in real-world conditions. Organizations should monitor model drift, disparate impact, user complaints, failure incidents and misuse. Users affected by consequential AI decisions should have accessible mechanisms to contest outcomes, request explanation and obtain human review. This aligns with the broader movement in AI governance toward accountability after deployment, not only during design.</w:t>
      </w:r>
    </w:p>
    <w:p w14:paraId="76FCCCC7">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Finally, organizations should integrate legal and policy frameworks into engineering workflows. NIST AI RMF can guide internal risk management, OECD principles can provide values-based orientation, and the EU AI Act can serve as a model for risk-based obligations. The key point is that legal and ethical frameworks should be translated into engineering requirements, not left as policy documents. For example, “human oversight” should become a defined interface design requirement, staffing requirement and escalation procedure. “Transparency” should become model documentation, user notice and explanation design. “Fairness” should become dataset assessment, subgroup evaluation and mitigation testing.</w:t>
      </w:r>
    </w:p>
    <w:p w14:paraId="28E6D9E5">
      <w:pPr>
        <w:pStyle w:val="3"/>
        <w:numPr>
          <w:ilvl w:val="0"/>
          <w:numId w:val="1"/>
        </w:numPr>
        <w:bidi w:val="0"/>
        <w:rPr>
          <w:rFonts w:hint="eastAsia" w:ascii="Times New Roman" w:hAnsi="Times New Roman" w:cs="Times New Roman"/>
          <w:b/>
          <w:sz w:val="28"/>
          <w:szCs w:val="28"/>
          <w:lang w:val="en-ZA"/>
        </w:rPr>
      </w:pPr>
      <w:bookmarkStart w:id="8" w:name="_Toc27074"/>
      <w:r>
        <w:rPr>
          <w:rFonts w:hint="eastAsia" w:ascii="Times New Roman" w:hAnsi="Times New Roman" w:cs="Times New Roman"/>
          <w:b/>
          <w:sz w:val="28"/>
          <w:szCs w:val="28"/>
          <w:lang w:val="en-ZA"/>
        </w:rPr>
        <w:t>Conclusion and recommendations</w:t>
      </w:r>
      <w:bookmarkEnd w:id="8"/>
    </w:p>
    <w:p w14:paraId="5304DE1A">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宋体" w:cs="Times New Roman"/>
          <w:szCs w:val="22"/>
          <w:lang w:val="en-US" w:eastAsia="zh-CN"/>
        </w:rPr>
        <w:t>In conclusion, t</w:t>
      </w:r>
      <w:r>
        <w:rPr>
          <w:rFonts w:hint="eastAsia" w:ascii="Times New Roman" w:hAnsi="Times New Roman" w:eastAsia="Times New Roman" w:cs="Times New Roman"/>
          <w:szCs w:val="22"/>
          <w:lang w:val="en-ZA"/>
        </w:rPr>
        <w:t>he claim that existing codes of ethics have “almost zero” impact on software engineers’ decision-making should be interpreted carefully. It does not prove that software engineers lack moral concern, nor does it prove that professional ethics is irrelevant. It shows that codes of ethics, when presented as standalone documents, are weak behavioural interventions. They do not automatically overcome abstraction, weak enforcement, business pressure, fragmented responsibility, technical uncertainty or organizational incentives.</w:t>
      </w:r>
    </w:p>
    <w:p w14:paraId="3BDBCFD4">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central finding of this report is that ethical codes fail because they are usually not embedded into the environments where engineering decisions are made. Software engineers operate within organizational systems that define what is measured, rewarded, reviewed and authorized. If an organization measures speed but not social harm, rewards deployment but not risk reduction, and provides performance dashboards but not ethical review mechanisms, then it should not be surprising that codes of ethics have minimal impact.</w:t>
      </w:r>
    </w:p>
    <w:p w14:paraId="79A4648E">
      <w:pPr>
        <w:numPr>
          <w:ilvl w:val="0"/>
          <w:numId w:val="2"/>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most important recommendation is therefore to convert ethical principles into organizational decision architecture. This means implementing mandatory review gates, accountable ownership, documentation standards, internal audits, incentive alignment, protected escalation, case-based ethics education and post-deployment monitoring. These interventions change the practical conditions of engineering work. They make ethical reflection visible, reviewable and consequential.</w:t>
      </w:r>
    </w:p>
    <w:p w14:paraId="650B4067">
      <w:pPr>
        <w:numPr>
          <w:ilvl w:val="0"/>
          <w:numId w:val="2"/>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A second reco</w:t>
      </w:r>
      <w:bookmarkStart w:id="11" w:name="_GoBack"/>
      <w:bookmarkEnd w:id="11"/>
      <w:r>
        <w:rPr>
          <w:rFonts w:hint="eastAsia" w:ascii="Times New Roman" w:hAnsi="Times New Roman" w:eastAsia="Times New Roman" w:cs="Times New Roman"/>
          <w:szCs w:val="22"/>
          <w:lang w:val="en-ZA"/>
        </w:rPr>
        <w:t>mmendation is to combine rule-based ethics with virtue-based professional formation. Codes and regulations remain necessary because they define baseline duties and institutional expectations. However, responsible AI also requires engineers who possess practical wisdom, courage and care. Engineers must be able to recognize when a technically successful system may be socially harmful, when a dataset is inappropriate, when a metric is misleading, and when deployment should be delayed. These judgments cannot be fully automated or reduced to checklists.</w:t>
      </w:r>
    </w:p>
    <w:p w14:paraId="3AFF5DB6">
      <w:pPr>
        <w:numPr>
          <w:ilvl w:val="0"/>
          <w:numId w:val="2"/>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A third recommendation is to treat documentation and auditing as core engineering practices. Datasheets for datasets, model cards and internal algorithmic audits are not bureaucratic additions to AI development. They are mechanisms through which ethical principles become actionable. They create evidence, traceability and accountability. They also allow organizations to learn from failures rather than treating ethical concerns as public relations problems.</w:t>
      </w:r>
    </w:p>
    <w:p w14:paraId="50BD8FAB">
      <w:pPr>
        <w:ind w:firstLine="440" w:firstLineChars="200"/>
        <w:rPr>
          <w:rFonts w:hint="eastAsia"/>
        </w:rPr>
      </w:pPr>
      <w:r>
        <w:rPr>
          <w:rFonts w:hint="eastAsia" w:ascii="Times New Roman" w:hAnsi="Times New Roman" w:eastAsia="Times New Roman" w:cs="Times New Roman"/>
          <w:szCs w:val="22"/>
          <w:lang w:val="en-ZA"/>
        </w:rPr>
        <w:t>In conclusion, the future of software engineering ethics depends less on writing more codes and more on redesigning organizations so that ethical action is possible, expected and rewarded. Codes of ethics can matter, but only when they are connected to authority, evidence, incentives and professional culture. Responsible AI is therefore not achieved by asking individual engineers to remember abstract principles under pressure. It is achieved by building organizations in which responsible decisions become the normal way engineering work is conducted.</w:t>
      </w:r>
    </w:p>
    <w:p w14:paraId="778E5B5F">
      <w:pPr>
        <w:pStyle w:val="2"/>
        <w:bidi w:val="0"/>
        <w:rPr>
          <w:rFonts w:hint="eastAsia" w:ascii="Times New Roman" w:hAnsi="Times New Roman" w:cs="Times New Roman"/>
          <w:lang w:val="en-ZA"/>
        </w:rPr>
      </w:pPr>
      <w:bookmarkStart w:id="9" w:name="_Toc24444"/>
      <w:r>
        <w:rPr>
          <w:rFonts w:hint="eastAsia" w:ascii="Times New Roman" w:hAnsi="Times New Roman" w:cs="Times New Roman"/>
          <w:lang w:val="en-ZA"/>
        </w:rPr>
        <w:t>Acknowledgements/Resources</w:t>
      </w:r>
      <w:bookmarkEnd w:id="9"/>
    </w:p>
    <w:p w14:paraId="62CD23BC">
      <w:p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This report was developed through the combined use of multiple resources, including course materials, relevant academic literature, authoritative institutional sources, literature discovery tools, and AI-assisted writing support. The learning materials on CloudCampus were used to understand the assignment requirements, the broader background of AI Ethics and Responsible AI, and the expected structure of the research report. Connected Papers was used as a literature discovery tool to identify academic sources related to AI ethics guidelines, software engineering ethics, responsible AI governance, dataset documentation, model reporting, and algorithmic auditing.</w:t>
      </w:r>
    </w:p>
    <w:p w14:paraId="5C186CAB">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Burton et al. (2017) was used as a foundational source for understanding how AI ethics can be taught through ethical theories and case-based reasoning. The paper informed the discussion of deontology, utilitarianism, virtue ethics, practical wisdom, and the role of ethics education in preparing future AI practitioners.</w:t>
      </w:r>
    </w:p>
    <w:p w14:paraId="31282439">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Hagendorff (2020) was used as a foundational source for analysing the limitations of AI ethics guidelines. In particular, it supported the report’s argument that ethical guidelines often lack enforcement mechanisms, remain disconnected from technical practice, and risk becoming symbolic rather than operational.</w:t>
      </w:r>
    </w:p>
    <w:p w14:paraId="77D3BBAB">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McNamara et al. (2018) provided the key empirical basis for the report’s research question. Their study was used to support the argument that exposure to a professional code of ethics does not necessarily change software engineers’ ethical decision-making in practice.</w:t>
      </w:r>
    </w:p>
    <w:p w14:paraId="5BCA17A0">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Jobin et al. (2019) was used to contextualise the broader global landscape of AI ethics guidelines. It helped identify recurring ethical principles such as fairness, transparency, accountability, privacy, responsibility, and non-maleficence across different AI governance documents.</w:t>
      </w:r>
    </w:p>
    <w:p w14:paraId="67C06CD4">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Gebru et al. (2021) and Mitchell et al. (2019) were used to develop the report’s recommendations on practical documentation mechanisms. Gebru et al. informed the discussion of datasheets for datasets, while Mitchell et al. informed the discussion of model cards for model reporting.</w:t>
      </w:r>
    </w:p>
    <w:p w14:paraId="5784A729">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Raji et al. (2020) was used to support the recommendation for internal algorithmic auditing. The paper informed the report’s argument that ethical principles need to be embedded across the AI lifecycle, including design, development, deployment, monitoring, and post-deployment review.</w:t>
      </w:r>
    </w:p>
    <w:p w14:paraId="53032B9A">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NIST (2023), OECD (2024), and European Commission (2024) were used as authoritative institutional sources. These sources informed the discussion of AI risk management, international AI principles, trustworthy AI, and risk-based regulatory governance.</w:t>
      </w:r>
    </w:p>
    <w:p w14:paraId="7AC5D30C">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The CloudCampus course learning materials for COS30019 were used to understand the assignment brief, marking expectations, recommended report structure, and key concepts related to AI Ethics and Responsible AI.</w:t>
      </w:r>
    </w:p>
    <w:p w14:paraId="3B3E720D">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Connected Papers was used to explore relationships among academic papers and to identify relevant scholarly literature connected to AI ethics guidelines, software engineering ethics, responsible AI documentation, and algorithmic auditing.</w:t>
      </w:r>
    </w:p>
    <w:p w14:paraId="5B7DA290">
      <w:pPr>
        <w:numPr>
          <w:ilvl w:val="0"/>
          <w:numId w:val="3"/>
        </w:numPr>
        <w:ind w:firstLine="440" w:firstLineChars="200"/>
        <w:rPr>
          <w:rFonts w:hint="eastAsia" w:ascii="Times New Roman" w:hAnsi="Times New Roman" w:eastAsia="Times New Roman" w:cs="Times New Roman"/>
          <w:szCs w:val="22"/>
          <w:lang w:val="en-ZA"/>
        </w:rPr>
      </w:pPr>
      <w:r>
        <w:rPr>
          <w:rFonts w:hint="eastAsia" w:ascii="Times New Roman" w:hAnsi="Times New Roman" w:eastAsia="Times New Roman" w:cs="Times New Roman"/>
          <w:szCs w:val="22"/>
          <w:lang w:val="en-ZA"/>
        </w:rPr>
        <w:t>ChatGPT (GPT-5.5 Thinking) was used to assist with literature synthesis, report structuring, language refinement, and drafting. The AI-generated output was reviewed, revised, and verified by the student before submission. The student remains fully responsible for the final content, citations, conclusions, and academic integrity of the report.</w:t>
      </w:r>
    </w:p>
    <w:p w14:paraId="353BF2E9">
      <w:pPr>
        <w:pStyle w:val="2"/>
        <w:bidi w:val="0"/>
        <w:rPr>
          <w:rFonts w:hint="eastAsia" w:ascii="Times New Roman" w:hAnsi="Times New Roman" w:cs="Times New Roman"/>
          <w:lang w:val="en-ZA"/>
        </w:rPr>
      </w:pPr>
      <w:bookmarkStart w:id="10" w:name="_Toc30173"/>
      <w:r>
        <w:rPr>
          <w:rFonts w:hint="eastAsia" w:ascii="Times New Roman" w:hAnsi="Times New Roman" w:cs="Times New Roman"/>
          <w:lang w:val="en-ZA"/>
        </w:rPr>
        <w:t>References</w:t>
      </w:r>
      <w:bookmarkEnd w:id="10"/>
    </w:p>
    <w:p w14:paraId="45512D7E">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Burton, E., Goldsmith, J., Koenig, S., Kuipers, B., Mattei, N., &amp; Walsh, T. (2017). Ethical considerations in artificial intelligence courses. AI Magazine, 38(2), 22–34.</w:t>
      </w:r>
    </w:p>
    <w:p w14:paraId="6A39CAF8">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European Commission. (2024, August 1). AI Act enters into force. European Commission.</w:t>
      </w:r>
    </w:p>
    <w:p w14:paraId="7DB48341">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Gebru, T., Morgenstern, J., Vecchione, B., Vaughan, J. W., Wallach, H., Daumé III, H., &amp; Crawford, K. (2021). Datasheets for datasets. Communications of the ACM, 64(12), 86–92. DOI: 10.1145/3458723.</w:t>
      </w:r>
    </w:p>
    <w:p w14:paraId="24D1E2AA">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Hagendorff, T. (2020). The ethics of AI ethics: An evaluation of guidelines. Minds and Machines, 30(1), 99–120. DOI: 10.1007/s11023-020-09517-8.</w:t>
      </w:r>
    </w:p>
    <w:p w14:paraId="5B275F4E">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Jobin, A., Ienca, M., &amp; Vayena, E. (2019). The global landscape of AI ethics guidelines. Nature Machine Intelligence, 1, 389–399. DOI: 10.1038/s42256-019-0088-2.</w:t>
      </w:r>
    </w:p>
    <w:p w14:paraId="0D8CEE52">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McNamara, A., Smith, J., &amp; Murphy-Hill, E. (2018). Does ACM’s code of ethics change ethical decision making in software development? In Proceedings of the 2018 26th ACM Joint Meeting on European Software Engineering Conference and Symposium on the Foundations of Software Engineering (pp. 729–733). DOI: 10.1145/3236024.3264833.</w:t>
      </w:r>
    </w:p>
    <w:p w14:paraId="1CC2AC03">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Mitchell, M., Wu, S., Zaldivar, A., Barnes, P., Vasserman, L., Hutchinson, B., Spitzer, E., Raji, I. D., &amp; Gebru, T. (2019). Model cards for model reporting. In Proceedings of the Conference on Fairness, Accountability, and Transparency (pp. 220–229). DOI: 10.1145/3287560.3287596.</w:t>
      </w:r>
    </w:p>
    <w:p w14:paraId="137F94A4">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National Institute of Standards and Technology. (2023). Artificial Intelligence Risk Management Framework (AI RMF 1.0). NIST AI 100-1. DOI: 10.6028/NIST.AI.100-1.</w:t>
      </w:r>
    </w:p>
    <w:p w14:paraId="513604C6">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Organisation for Economic Co-operation and Development. (2024). OECD AI Principles. OECD.AI Policy Observatory.</w:t>
      </w:r>
    </w:p>
    <w:p w14:paraId="12B3FD51">
      <w:pPr>
        <w:widowControl w:val="0"/>
        <w:numPr>
          <w:ilvl w:val="0"/>
          <w:numId w:val="4"/>
        </w:numPr>
        <w:wordWrap w:val="0"/>
        <w:spacing w:before="0" w:beforeLines="0" w:after="0" w:line="360" w:lineRule="auto"/>
        <w:ind w:firstLine="420" w:firstLineChars="0"/>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pPr>
      <w:r>
        <w:rPr>
          <w:rFonts w:hint="eastAsia" w:ascii="Arial" w:hAnsi="Arial" w:eastAsia="宋体" w:cs="Arial"/>
          <w:iCs w:val="0"/>
          <w:color w:val="000000" w:themeColor="text1"/>
          <w:kern w:val="2"/>
          <w:sz w:val="22"/>
          <w:szCs w:val="22"/>
          <w:lang w:val="en-ZA" w:eastAsia="zh-CN"/>
          <w14:textFill>
            <w14:solidFill>
              <w14:schemeClr w14:val="tx1"/>
            </w14:solidFill>
          </w14:textFill>
          <w14:ligatures w14:val="none"/>
        </w:rPr>
        <w:t>Raji, I. D., Smart, A., White, R. N., Mitchell, M., Gebru, T., Hutchinson, B., Smith-Loud, J., Theron, D., &amp; Barnes, P. (2020). Closing the AI accountability gap: Defining an end-to-end framework for internal algorithmic auditing. In Proceedings of the 2020 Conference on Fairness, Accountability, and Transparency (pp. 33–44). DOI: 10.1145/3351095.3372873.</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ptos">
    <w:altName w:val="宋体"/>
    <w:panose1 w:val="00000000000000000000"/>
    <w:charset w:val="86"/>
    <w:family w:val="swiss"/>
    <w:pitch w:val="default"/>
    <w:sig w:usb0="00000000" w:usb1="00000000" w:usb2="00000000" w:usb3="00000000" w:csb0="0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D994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D4D35A">
                          <w:pPr>
                            <w:pStyle w:val="6"/>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0AD4D35A">
                    <w:pPr>
                      <w:pStyle w:val="6"/>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34F17E"/>
    <w:multiLevelType w:val="singleLevel"/>
    <w:tmpl w:val="EB34F17E"/>
    <w:lvl w:ilvl="0" w:tentative="0">
      <w:start w:val="1"/>
      <w:numFmt w:val="decimal"/>
      <w:suff w:val="space"/>
      <w:lvlText w:val="(%1)"/>
      <w:lvlJc w:val="left"/>
    </w:lvl>
  </w:abstractNum>
  <w:abstractNum w:abstractNumId="1">
    <w:nsid w:val="FECA929E"/>
    <w:multiLevelType w:val="singleLevel"/>
    <w:tmpl w:val="FECA929E"/>
    <w:lvl w:ilvl="0" w:tentative="0">
      <w:start w:val="1"/>
      <w:numFmt w:val="decimal"/>
      <w:suff w:val="space"/>
      <w:lvlText w:val="%1."/>
      <w:lvlJc w:val="left"/>
      <w:rPr>
        <w:rFonts w:hint="default"/>
        <w:sz w:val="24"/>
        <w:szCs w:val="24"/>
      </w:rPr>
    </w:lvl>
  </w:abstractNum>
  <w:abstractNum w:abstractNumId="2">
    <w:nsid w:val="278FADA3"/>
    <w:multiLevelType w:val="singleLevel"/>
    <w:tmpl w:val="278FADA3"/>
    <w:lvl w:ilvl="0" w:tentative="0">
      <w:start w:val="1"/>
      <w:numFmt w:val="decimal"/>
      <w:suff w:val="space"/>
      <w:lvlText w:val="(%1)"/>
      <w:lvlJc w:val="left"/>
    </w:lvl>
  </w:abstractNum>
  <w:abstractNum w:abstractNumId="3">
    <w:nsid w:val="392BC464"/>
    <w:multiLevelType w:val="singleLevel"/>
    <w:tmpl w:val="392BC464"/>
    <w:lvl w:ilvl="0" w:tentative="0">
      <w:start w:val="1"/>
      <w:numFmt w:val="decimal"/>
      <w:lvlText w:val="[%1]"/>
      <w:lvlJc w:val="left"/>
      <w:pPr>
        <w:tabs>
          <w:tab w:val="left" w:pos="420"/>
        </w:tabs>
        <w:ind w:left="425" w:hanging="425"/>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5202C"/>
    <w:rsid w:val="1FB62A86"/>
    <w:rsid w:val="52760F5C"/>
    <w:rsid w:val="73DA2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Arial" w:hAnsi="Arial" w:eastAsia="Times New Roman" w:cs="Arial"/>
      <w:iCs/>
      <w:kern w:val="0"/>
      <w:sz w:val="22"/>
      <w:szCs w:val="28"/>
      <w:lang w:val="en-ZA" w:eastAsia="en-US" w:bidi="ar-SA"/>
      <w14:ligatures w14:val="none"/>
    </w:rPr>
  </w:style>
  <w:style w:type="paragraph" w:styleId="2">
    <w:name w:val="heading 1"/>
    <w:basedOn w:val="1"/>
    <w:next w:val="1"/>
    <w:qFormat/>
    <w:uiPriority w:val="0"/>
    <w:pPr>
      <w:keepNext/>
      <w:spacing w:before="240" w:after="120"/>
      <w:jc w:val="center"/>
      <w:outlineLvl w:val="0"/>
    </w:pPr>
    <w:rPr>
      <w:rFonts w:ascii="Times New Roman" w:hAnsi="Times New Roman" w:eastAsia="宋体" w:cs="Times New Roman"/>
      <w:b/>
      <w:bCs/>
      <w:caps/>
      <w:kern w:val="32"/>
      <w:sz w:val="32"/>
      <w:szCs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uiPriority w:val="0"/>
    <w:pPr>
      <w:ind w:left="420" w:leftChars="200"/>
    </w:p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13">
    <w:name w:val="Proposal Title"/>
    <w:basedOn w:val="1"/>
    <w:next w:val="2"/>
    <w:qFormat/>
    <w:uiPriority w:val="0"/>
    <w:pPr>
      <w:spacing w:after="360"/>
      <w:contextualSpacing/>
      <w:jc w:val="center"/>
    </w:pPr>
    <w:rPr>
      <w:rFonts w:ascii="Times New Roman" w:hAnsi="Times New Roman"/>
      <w:b/>
      <w:cap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2026-05-22T12:24:39Z</dcterms:created>
  <dc:creator>lenovo</dc:creator>
  <cp:lastModifiedBy>一念无明</cp:lastModifiedBy>
  <dcterms:modified xsi:type="dcterms:W3CDTF">2026-05-22T14:34:44Z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eyJoZGlkIjoiN2M2ZmFhYjU4YTM5Mzg1MGRkOGZiZDcwYWM0NThmYjciLCJ1c2VySWQiOiIxNTQxODQyNzI1In0=</vt:lpwstr>
  </property>
  <property fmtid="{D5CDD505-2E9C-101B-9397-08002B2CF9AE}" pid="4" name="ICV">
    <vt:lpwstr>FDE25BBD6882407FB7E270E34B936AC3_12</vt:lpwstr>
  </property>
</Properties>
</file>