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3A5BB">
      <w:pPr>
        <w:pStyle w:val="7"/>
      </w:pPr>
      <w:r>
        <w:t>Assignment 1</w:t>
      </w:r>
    </w:p>
    <w:p w14:paraId="61DBB9BD">
      <w:pPr>
        <w:pStyle w:val="2"/>
        <w:rPr>
          <w:rFonts w:ascii="Times New Roman" w:hAnsi="Times New Roman" w:eastAsia="宋体" w:cs="Times New Roman"/>
          <w:b/>
          <w:bCs/>
          <w:iCs/>
          <w:caps/>
          <w:kern w:val="32"/>
          <w:sz w:val="28"/>
          <w:szCs w:val="28"/>
          <w:lang w:val="en-ZA" w:eastAsia="en-US" w:bidi="ar-SA"/>
          <w14:ligatures w14:val="none"/>
        </w:rPr>
      </w:pPr>
      <w:r>
        <w:rPr>
          <w:rFonts w:hint="eastAsia"/>
          <w:sz w:val="28"/>
          <w:szCs w:val="28"/>
        </w:rPr>
        <w:t>From Ethical Codes to Organizational Decision Architecture: Why Software Engineering Ethics Requires Governance, Auditability and Virtue-Based Practice</w:t>
      </w:r>
    </w:p>
    <w:p w14:paraId="2D87A508"/>
    <w:p w14:paraId="4571847E"/>
    <w:p w14:paraId="2EF4A0C7"/>
    <w:p w14:paraId="79C8C54F"/>
    <w:p w14:paraId="264671CB"/>
    <w:p w14:paraId="77884997"/>
    <w:p w14:paraId="427C25AF"/>
    <w:p w14:paraId="2FBE7FEB"/>
    <w:p w14:paraId="3A3E2FF1"/>
    <w:p w14:paraId="7EC1F4A8"/>
    <w:p w14:paraId="66B29518"/>
    <w:p w14:paraId="6C0EB4D3"/>
    <w:p w14:paraId="3994466E"/>
    <w:p w14:paraId="085EB7D1">
      <w:pPr>
        <w:tabs>
          <w:tab w:val="left" w:pos="3600"/>
        </w:tabs>
        <w:rPr>
          <w:bCs/>
          <w:iCs w:val="0"/>
        </w:rPr>
      </w:pPr>
      <w:r>
        <w:rPr>
          <w:b/>
          <w:bCs/>
          <w:iCs w:val="0"/>
        </w:rPr>
        <w:t xml:space="preserve">STUDENT NAME: </w:t>
      </w:r>
      <w:r>
        <w:rPr>
          <w:b/>
          <w:bCs/>
          <w:iCs w:val="0"/>
        </w:rPr>
        <w:tab/>
      </w:r>
      <w:r>
        <w:rPr>
          <w:rFonts w:hint="default" w:ascii="Times New Roman" w:hAnsi="Times New Roman" w:cs="Times New Roman"/>
          <w:bCs/>
          <w:iCs w:val="0"/>
        </w:rPr>
        <w:t>Kevin(Chengqian Wang)</w:t>
      </w:r>
    </w:p>
    <w:p w14:paraId="34BE75D6">
      <w:pPr>
        <w:tabs>
          <w:tab w:val="left" w:pos="3600"/>
        </w:tabs>
        <w:rPr>
          <w:rFonts w:hint="default" w:ascii="Times New Roman" w:hAnsi="Times New Roman" w:cs="Times New Roman"/>
          <w:bCs/>
          <w:iCs w:val="0"/>
        </w:rPr>
      </w:pPr>
      <w:r>
        <w:rPr>
          <w:b/>
          <w:bCs/>
          <w:iCs w:val="0"/>
        </w:rPr>
        <w:t>STUDENT NUMBER:</w:t>
      </w:r>
      <w:r>
        <w:rPr>
          <w:b/>
          <w:bCs/>
          <w:iCs w:val="0"/>
        </w:rPr>
        <w:tab/>
      </w:r>
      <w:r>
        <w:rPr>
          <w:rFonts w:hint="eastAsia" w:ascii="Times New Roman" w:hAnsi="Times New Roman" w:cs="Times New Roman"/>
          <w:bCs/>
          <w:iCs w:val="0"/>
        </w:rPr>
        <w:t>202313040120</w:t>
      </w:r>
    </w:p>
    <w:p w14:paraId="09BB7354">
      <w:pPr>
        <w:tabs>
          <w:tab w:val="left" w:pos="3600"/>
        </w:tabs>
        <w:ind w:left="3522" w:hanging="3522" w:hangingChars="1600"/>
        <w:rPr>
          <w:rFonts w:hint="default" w:ascii="Times New Roman" w:hAnsi="Times New Roman" w:eastAsia="Times New Roman" w:cs="Times New Roman"/>
          <w:bCs/>
          <w:iCs w:val="0"/>
          <w:lang w:val="en-US" w:eastAsia="zh-CN"/>
        </w:rPr>
      </w:pPr>
      <w:r>
        <w:rPr>
          <w:rFonts w:hint="eastAsia" w:eastAsia="Times New Roman"/>
          <w:b/>
          <w:bCs/>
          <w:iCs w:val="0"/>
          <w:lang w:val="en-US" w:eastAsia="zh-CN"/>
        </w:rPr>
        <w:t xml:space="preserve">TOPIC:                        </w:t>
      </w:r>
      <w:r>
        <w:rPr>
          <w:rFonts w:hint="eastAsia" w:ascii="Times New Roman" w:hAnsi="Times New Roman" w:eastAsia="Times New Roman" w:cs="Times New Roman"/>
          <w:bCs/>
          <w:iCs w:val="0"/>
          <w:lang w:val="en-US" w:eastAsia="zh-CN"/>
        </w:rPr>
        <w:t xml:space="preserve"> 9. Why do existing codes of ethics have "almost zero" impact on the actual decision-making of software engineers, and what specific organizational interventions could change this outcome?  </w:t>
      </w:r>
    </w:p>
    <w:p w14:paraId="77441629">
      <w:pPr>
        <w:tabs>
          <w:tab w:val="left" w:pos="3600"/>
        </w:tabs>
        <w:rPr>
          <w:b/>
          <w:bCs/>
          <w:iCs w:val="0"/>
          <w:szCs w:val="24"/>
        </w:rPr>
      </w:pPr>
    </w:p>
    <w:p w14:paraId="0A130907">
      <w:pPr>
        <w:tabs>
          <w:tab w:val="left" w:pos="3600"/>
        </w:tabs>
        <w:rPr>
          <w:b/>
          <w:bCs/>
          <w:iCs w:val="0"/>
          <w:szCs w:val="24"/>
        </w:rPr>
      </w:pPr>
    </w:p>
    <w:p w14:paraId="65937B9E">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r>
        <w:rPr>
          <w:rFonts w:hint="eastAsia"/>
          <w:b/>
          <w:bCs/>
          <w:iCs w:val="0"/>
        </w:rPr>
        <w:t>Tutor</w:t>
      </w:r>
      <w:r>
        <w:rPr>
          <w:b/>
          <w:bCs/>
          <w:iCs w:val="0"/>
        </w:rPr>
        <w:t>:</w:t>
      </w:r>
      <w:r>
        <w:rPr>
          <w:rFonts w:hint="eastAsia" w:eastAsia="宋体"/>
          <w:b/>
          <w:bCs/>
          <w:iCs w:val="0"/>
          <w:lang w:val="en-US" w:eastAsia="zh-CN"/>
        </w:rPr>
        <w:t xml:space="preserve">                          </w:t>
      </w:r>
      <w:r>
        <w:rPr>
          <w:rFonts w:hint="eastAsia" w:ascii="Times New Roman" w:hAnsi="Times New Roman" w:cs="Times New Roman"/>
          <w:bCs/>
          <w:iCs w:val="0"/>
          <w:lang w:val="en-US" w:eastAsia="zh-CN"/>
        </w:rPr>
        <w:t>Bao QuocVo, Yiru Sun</w:t>
      </w:r>
    </w:p>
    <w:p w14:paraId="6E57AC2D">
      <w:pPr>
        <w:pStyle w:val="2"/>
        <w:bidi w:val="0"/>
        <w:rPr>
          <w:rFonts w:hint="eastAsia"/>
          <w:lang w:val="en-Z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BDE6AA4">
      <w:pPr>
        <w:pStyle w:val="2"/>
        <w:bidi w:val="0"/>
        <w:rPr>
          <w:rFonts w:hint="eastAsia"/>
        </w:rPr>
      </w:pPr>
      <w:r>
        <w:rPr>
          <w:rFonts w:hint="eastAsia"/>
          <w:lang w:val="en-ZA"/>
        </w:rPr>
        <w:t>Week 2 Progress Summary</w:t>
      </w:r>
    </w:p>
    <w:p w14:paraId="452543BC">
      <w:pPr>
        <w:ind w:firstLine="440" w:firstLineChars="200"/>
        <w:rPr>
          <w:rFonts w:hint="eastAsia" w:ascii="Times New Roman" w:hAnsi="Times New Roman" w:cs="Times New Roman"/>
          <w:szCs w:val="22"/>
        </w:rPr>
      </w:pPr>
      <w:r>
        <w:rPr>
          <w:rFonts w:hint="eastAsia" w:ascii="Times New Roman" w:hAnsi="Times New Roman" w:cs="Times New Roman"/>
          <w:szCs w:val="22"/>
        </w:rPr>
        <w:t>During Week 2, I expanded my research beyond the two base documents by identifying additional reliable sources related to software engineering ethics, AI ethics guidelines, responsible AI governance, dataset documentation, model reporting, and algorithmic auditing. I used CloudCampus learning materials to remain aligned with the assignment requirements and used Connected Papers as a literature discovery tool to explore relationships among relevant academic sources.</w:t>
      </w:r>
    </w:p>
    <w:p w14:paraId="1A94A82E">
      <w:pPr>
        <w:ind w:firstLine="440" w:firstLineChars="200"/>
        <w:rPr>
          <w:rFonts w:hint="eastAsia" w:ascii="Times New Roman" w:hAnsi="Times New Roman" w:cs="Times New Roman"/>
          <w:szCs w:val="22"/>
        </w:rPr>
      </w:pPr>
      <w:r>
        <w:rPr>
          <w:rFonts w:hint="eastAsia" w:ascii="Times New Roman" w:hAnsi="Times New Roman" w:cs="Times New Roman"/>
          <w:szCs w:val="22"/>
        </w:rPr>
        <w:t>The most important additional source for my research question was McNamara et al. (2018), which directly investigates whether the ACM Code of Ethics changes ethical decision-making in software development. This study provided the empirical foundation for the report because it found that exposure to the ACM Code of Ethics did not produce a statistically significant difference in participants’ responses to ethical decision scenarios. This finding directly supports the claim that codes of ethics may have “almost zero” impact when they are presented as passive documents rather than embedded in organizational systems.</w:t>
      </w:r>
    </w:p>
    <w:p w14:paraId="31D985A0">
      <w:pPr>
        <w:ind w:firstLine="440" w:firstLineChars="200"/>
        <w:rPr>
          <w:rFonts w:hint="eastAsia" w:ascii="Times New Roman" w:hAnsi="Times New Roman" w:cs="Times New Roman"/>
          <w:szCs w:val="22"/>
        </w:rPr>
      </w:pPr>
      <w:r>
        <w:rPr>
          <w:rFonts w:hint="eastAsia" w:ascii="Times New Roman" w:hAnsi="Times New Roman" w:cs="Times New Roman"/>
          <w:szCs w:val="22"/>
        </w:rPr>
        <w:t>I also reviewed Jobin et al. (2019), which examines the global landscape of AI ethics guidelines. This source helped me understand that many AI ethics guidelines share common principles, including fairness, transparency, accountability, privacy, responsibility, and non-maleficence. However, the source also helped me recognize that agreement on principles does not automatically lead to effective implementation.</w:t>
      </w:r>
    </w:p>
    <w:p w14:paraId="5F0C2419">
      <w:pPr>
        <w:ind w:firstLine="440" w:firstLineChars="200"/>
        <w:rPr>
          <w:rFonts w:hint="eastAsia" w:ascii="Times New Roman" w:hAnsi="Times New Roman" w:cs="Times New Roman"/>
          <w:szCs w:val="22"/>
        </w:rPr>
      </w:pPr>
      <w:r>
        <w:rPr>
          <w:rFonts w:hint="eastAsia" w:ascii="Times New Roman" w:hAnsi="Times New Roman" w:cs="Times New Roman"/>
          <w:szCs w:val="22"/>
        </w:rPr>
        <w:t>To develop the recommendations section of the report, I examined practical responsible AI mechanisms. Gebru et al. (2021) was used to understand datasheets for datasets, which can help document dataset motivation, composition, collection, preprocessing, limitations, and appropriate use. Mitchell et al. (2019) was used to understand model cards, which provide structured reporting on model performance, intended use, ethical considerations, and limitations. Raji et al. (2020) was used to support the idea of internal algorithmic auditing as an end-to-end accountability mechanism across the AI lifecycle.</w:t>
      </w:r>
    </w:p>
    <w:p w14:paraId="637C4B42">
      <w:pPr>
        <w:ind w:firstLine="440" w:firstLineChars="200"/>
        <w:rPr>
          <w:rFonts w:hint="eastAsia"/>
        </w:rPr>
      </w:pPr>
      <w:r>
        <w:rPr>
          <w:rFonts w:hint="eastAsia" w:ascii="Times New Roman" w:hAnsi="Times New Roman" w:cs="Times New Roman"/>
          <w:szCs w:val="22"/>
        </w:rPr>
        <w:t>I also reviewed institutional sources, including NIST (2023), OECD (2024), and the European Commission (2024). These sources wer</w:t>
      </w:r>
      <w:bookmarkStart w:id="0" w:name="_GoBack"/>
      <w:bookmarkEnd w:id="0"/>
      <w:r>
        <w:rPr>
          <w:rFonts w:hint="eastAsia" w:ascii="Times New Roman" w:hAnsi="Times New Roman" w:cs="Times New Roman"/>
          <w:szCs w:val="22"/>
        </w:rPr>
        <w:t>e useful because they show how AI ethics is increasingly moving from voluntary principles toward structured risk management and regulatory governance.</w:t>
      </w:r>
    </w:p>
    <w:p w14:paraId="6697BD38">
      <w:pPr>
        <w:pStyle w:val="2"/>
        <w:bidi w:val="0"/>
        <w:rPr>
          <w:rFonts w:hint="eastAsia"/>
          <w:lang w:val="en-ZA"/>
        </w:rPr>
      </w:pPr>
      <w:r>
        <w:rPr>
          <w:rFonts w:hint="eastAsia"/>
          <w:lang w:val="en-ZA"/>
        </w:rPr>
        <w:t>Source Summary Table</w:t>
      </w:r>
    </w:p>
    <w:tbl>
      <w:tblPr>
        <w:tblW w:w="198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65"/>
        <w:gridCol w:w="6859"/>
      </w:tblGrid>
      <w:tr w14:paraId="04017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90" w:type="dxa"/>
            <w:tcBorders>
              <w:top w:val="single" w:color="auto" w:sz="12" w:space="0"/>
              <w:left w:val="nil"/>
              <w:bottom w:val="single" w:color="auto" w:sz="4" w:space="0"/>
              <w:right w:val="nil"/>
            </w:tcBorders>
            <w:shd w:val="clear"/>
            <w:noWrap/>
            <w:vAlign w:val="center"/>
          </w:tcPr>
          <w:p w14:paraId="136449E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14:ligatures w14:val="none"/>
              </w:rPr>
              <w:t>Source</w:t>
            </w:r>
          </w:p>
        </w:tc>
        <w:tc>
          <w:tcPr>
            <w:tcW w:w="990" w:type="dxa"/>
            <w:tcBorders>
              <w:top w:val="single" w:color="auto" w:sz="12" w:space="0"/>
              <w:left w:val="nil"/>
              <w:bottom w:val="single" w:color="auto" w:sz="4" w:space="0"/>
              <w:right w:val="nil"/>
            </w:tcBorders>
            <w:shd w:val="clear"/>
            <w:noWrap/>
            <w:vAlign w:val="center"/>
          </w:tcPr>
          <w:p w14:paraId="279BF4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bdr w:val="none" w:color="auto" w:sz="0" w:space="0"/>
                <w:lang w:val="en-US" w:eastAsia="zh-CN" w:bidi="ar"/>
                <w14:ligatures w14:val="none"/>
              </w:rPr>
              <w:t>Main Contribution to the Report</w:t>
            </w:r>
          </w:p>
        </w:tc>
      </w:tr>
      <w:tr w14:paraId="5498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single" w:color="auto" w:sz="4" w:space="0"/>
              <w:left w:val="nil"/>
              <w:bottom w:val="nil"/>
              <w:right w:val="nil"/>
            </w:tcBorders>
            <w:shd w:val="clear"/>
            <w:noWrap/>
            <w:vAlign w:val="center"/>
          </w:tcPr>
          <w:p w14:paraId="01076AD1">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Burton et al. (2017)</w:t>
            </w:r>
          </w:p>
        </w:tc>
        <w:tc>
          <w:tcPr>
            <w:tcW w:w="0" w:type="auto"/>
            <w:tcBorders>
              <w:top w:val="single" w:color="auto" w:sz="4" w:space="0"/>
              <w:left w:val="nil"/>
              <w:bottom w:val="nil"/>
              <w:right w:val="nil"/>
            </w:tcBorders>
            <w:shd w:val="clear"/>
            <w:noWrap/>
            <w:vAlign w:val="center"/>
          </w:tcPr>
          <w:p w14:paraId="648407BA">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Provided the ethical theory foundation, including deontology, utilitarianism, virtue ethics, and case-based AI ethics education.</w:t>
            </w:r>
          </w:p>
        </w:tc>
      </w:tr>
      <w:tr w14:paraId="042A0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0B1BC114">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Hagendorff (2020)</w:t>
            </w:r>
          </w:p>
        </w:tc>
        <w:tc>
          <w:tcPr>
            <w:tcW w:w="0" w:type="auto"/>
            <w:tcBorders>
              <w:top w:val="nil"/>
              <w:left w:val="nil"/>
              <w:bottom w:val="nil"/>
              <w:right w:val="nil"/>
            </w:tcBorders>
            <w:shd w:val="clear"/>
            <w:noWrap/>
            <w:vAlign w:val="center"/>
          </w:tcPr>
          <w:p w14:paraId="79EACBAD">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Supported the critique that AI ethics guidelines often lack enforcement and remain disconnected from practice.</w:t>
            </w:r>
          </w:p>
        </w:tc>
      </w:tr>
      <w:tr w14:paraId="28255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623B94B6">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McNamara et al. (2018)</w:t>
            </w:r>
          </w:p>
        </w:tc>
        <w:tc>
          <w:tcPr>
            <w:tcW w:w="0" w:type="auto"/>
            <w:tcBorders>
              <w:top w:val="nil"/>
              <w:left w:val="nil"/>
              <w:bottom w:val="nil"/>
              <w:right w:val="nil"/>
            </w:tcBorders>
            <w:shd w:val="clear"/>
            <w:noWrap/>
            <w:vAlign w:val="center"/>
          </w:tcPr>
          <w:p w14:paraId="50321877">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Provided empirical evidence that the ACM Code of Ethics did not significantly change software developers’ ethical decisions.</w:t>
            </w:r>
          </w:p>
        </w:tc>
      </w:tr>
      <w:tr w14:paraId="06977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18031580">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Jobin et al. (2019)</w:t>
            </w:r>
          </w:p>
        </w:tc>
        <w:tc>
          <w:tcPr>
            <w:tcW w:w="0" w:type="auto"/>
            <w:tcBorders>
              <w:top w:val="nil"/>
              <w:left w:val="nil"/>
              <w:bottom w:val="nil"/>
              <w:right w:val="nil"/>
            </w:tcBorders>
            <w:shd w:val="clear"/>
            <w:noWrap/>
            <w:vAlign w:val="center"/>
          </w:tcPr>
          <w:p w14:paraId="712FD6BB">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Helped contextualize recurring principles in global AI ethics guidelines.</w:t>
            </w:r>
          </w:p>
        </w:tc>
      </w:tr>
      <w:tr w14:paraId="4C1D2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5943DFA0">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Gebru et al. (2021)</w:t>
            </w:r>
          </w:p>
        </w:tc>
        <w:tc>
          <w:tcPr>
            <w:tcW w:w="0" w:type="auto"/>
            <w:tcBorders>
              <w:top w:val="nil"/>
              <w:left w:val="nil"/>
              <w:bottom w:val="nil"/>
              <w:right w:val="nil"/>
            </w:tcBorders>
            <w:shd w:val="clear"/>
            <w:noWrap/>
            <w:vAlign w:val="center"/>
          </w:tcPr>
          <w:p w14:paraId="7274FEBD">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Supported the recommendation for datasheets for datasets as a practical documentation tool.</w:t>
            </w:r>
          </w:p>
        </w:tc>
      </w:tr>
      <w:tr w14:paraId="04B10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39ED0337">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Mitchell et al. (2019)</w:t>
            </w:r>
          </w:p>
        </w:tc>
        <w:tc>
          <w:tcPr>
            <w:tcW w:w="0" w:type="auto"/>
            <w:tcBorders>
              <w:top w:val="nil"/>
              <w:left w:val="nil"/>
              <w:bottom w:val="nil"/>
              <w:right w:val="nil"/>
            </w:tcBorders>
            <w:shd w:val="clear"/>
            <w:noWrap/>
            <w:vAlign w:val="center"/>
          </w:tcPr>
          <w:p w14:paraId="2C9C299D">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Supported the recommendation for model cards as a model reporting mechanism.</w:t>
            </w:r>
          </w:p>
        </w:tc>
      </w:tr>
      <w:tr w14:paraId="3CDB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07729610">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Raji et al. (2020)</w:t>
            </w:r>
          </w:p>
        </w:tc>
        <w:tc>
          <w:tcPr>
            <w:tcW w:w="0" w:type="auto"/>
            <w:tcBorders>
              <w:top w:val="nil"/>
              <w:left w:val="nil"/>
              <w:bottom w:val="nil"/>
              <w:right w:val="nil"/>
            </w:tcBorders>
            <w:shd w:val="clear"/>
            <w:noWrap/>
            <w:vAlign w:val="center"/>
          </w:tcPr>
          <w:p w14:paraId="238B8034">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Supported the recommendation for internal algorithmic auditing across the AI lifecycle.</w:t>
            </w:r>
          </w:p>
        </w:tc>
      </w:tr>
      <w:tr w14:paraId="25873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1E217BE0">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NIST (2023)</w:t>
            </w:r>
          </w:p>
        </w:tc>
        <w:tc>
          <w:tcPr>
            <w:tcW w:w="0" w:type="auto"/>
            <w:tcBorders>
              <w:top w:val="nil"/>
              <w:left w:val="nil"/>
              <w:bottom w:val="nil"/>
              <w:right w:val="nil"/>
            </w:tcBorders>
            <w:shd w:val="clear"/>
            <w:noWrap/>
            <w:vAlign w:val="center"/>
          </w:tcPr>
          <w:p w14:paraId="4D2D6606">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Provided an institutional framework for AI risk management.</w:t>
            </w:r>
          </w:p>
        </w:tc>
      </w:tr>
      <w:tr w14:paraId="2FB7F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noWrap/>
            <w:vAlign w:val="center"/>
          </w:tcPr>
          <w:p w14:paraId="1F6509B6">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OECD (2024)</w:t>
            </w:r>
          </w:p>
        </w:tc>
        <w:tc>
          <w:tcPr>
            <w:tcW w:w="0" w:type="auto"/>
            <w:tcBorders>
              <w:top w:val="nil"/>
              <w:left w:val="nil"/>
              <w:bottom w:val="nil"/>
              <w:right w:val="nil"/>
            </w:tcBorders>
            <w:shd w:val="clear"/>
            <w:noWrap/>
            <w:vAlign w:val="center"/>
          </w:tcPr>
          <w:p w14:paraId="3ED6D561">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Provided international AI principles for trustworthy and human-centred AI.</w:t>
            </w:r>
          </w:p>
        </w:tc>
      </w:tr>
      <w:tr w14:paraId="4AD4A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single" w:color="auto" w:sz="12" w:space="0"/>
              <w:right w:val="nil"/>
            </w:tcBorders>
            <w:shd w:val="clear"/>
            <w:noWrap/>
            <w:vAlign w:val="center"/>
          </w:tcPr>
          <w:p w14:paraId="6C0ED08F">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European Commission (2024)</w:t>
            </w:r>
          </w:p>
        </w:tc>
        <w:tc>
          <w:tcPr>
            <w:tcW w:w="0" w:type="auto"/>
            <w:tcBorders>
              <w:top w:val="nil"/>
              <w:left w:val="nil"/>
              <w:bottom w:val="single" w:color="auto" w:sz="12" w:space="0"/>
              <w:right w:val="nil"/>
            </w:tcBorders>
            <w:shd w:val="clear"/>
            <w:noWrap/>
            <w:vAlign w:val="center"/>
          </w:tcPr>
          <w:p w14:paraId="1A616653">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bdr w:val="none" w:color="auto" w:sz="0" w:space="0"/>
                <w:lang w:val="en-US" w:eastAsia="zh-CN" w:bidi="ar"/>
                <w14:ligatures w14:val="none"/>
              </w:rPr>
              <w:t>Provided a regulatory example of risk-based AI governance through the EU AI Act.</w:t>
            </w:r>
          </w:p>
        </w:tc>
      </w:tr>
    </w:tbl>
    <w:p w14:paraId="24B6B4D5">
      <w:pPr>
        <w:pStyle w:val="2"/>
        <w:bidi w:val="0"/>
        <w:rPr>
          <w:rFonts w:hint="eastAsia"/>
          <w:lang w:val="en-ZA"/>
        </w:rPr>
      </w:pPr>
      <w:r>
        <w:rPr>
          <w:rFonts w:hint="eastAsia"/>
          <w:lang w:val="en-ZA"/>
        </w:rPr>
        <w:t>Draft Findings Structure</w:t>
      </w:r>
    </w:p>
    <w:p w14:paraId="3F3C6148">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During Week 2, I structured the Findings section into four main subsections:</w:t>
      </w:r>
    </w:p>
    <w:p w14:paraId="1B208B5A">
      <w:pPr>
        <w:ind w:firstLine="440" w:firstLineChars="200"/>
        <w:rPr>
          <w:rFonts w:hint="eastAsia" w:ascii="Times New Roman" w:hAnsi="Times New Roman" w:cs="Times New Roman"/>
          <w:b/>
          <w:bCs/>
          <w:szCs w:val="22"/>
          <w:lang w:val="en-ZA"/>
        </w:rPr>
      </w:pPr>
      <w:r>
        <w:rPr>
          <w:rFonts w:hint="eastAsia" w:ascii="Times New Roman" w:hAnsi="Times New Roman" w:cs="Times New Roman"/>
          <w:b/>
          <w:bCs/>
          <w:szCs w:val="22"/>
          <w:lang w:val="en-ZA"/>
        </w:rPr>
        <w:t>1. The empirical problem: codes of ethics as weak behavioural interventions</w:t>
      </w:r>
    </w:p>
    <w:p w14:paraId="43F3D572">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This subsection explains the empirical basis of the research question. McNamara et al. (2018) is used to show that simply exposing software engineers to an ethical code does not necessarily change decision-making. Hagendorff (2020) is used to connect this finding to the broader weakness of AI ethics guidelines.</w:t>
      </w:r>
    </w:p>
    <w:p w14:paraId="29574EB0">
      <w:pPr>
        <w:ind w:firstLine="440" w:firstLineChars="200"/>
        <w:rPr>
          <w:rFonts w:hint="eastAsia" w:ascii="Times New Roman" w:hAnsi="Times New Roman" w:cs="Times New Roman"/>
          <w:szCs w:val="22"/>
          <w:lang w:val="en-ZA"/>
        </w:rPr>
      </w:pPr>
      <w:r>
        <w:rPr>
          <w:rFonts w:hint="eastAsia" w:ascii="Times New Roman" w:hAnsi="Times New Roman" w:cs="Times New Roman"/>
          <w:b/>
          <w:bCs/>
          <w:szCs w:val="22"/>
          <w:lang w:val="en-ZA"/>
        </w:rPr>
        <w:t>2. Why codes fail in software engineering and AI development</w:t>
      </w:r>
    </w:p>
    <w:p w14:paraId="3BA23C7C">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This subsection analyses the reasons why ethical codes often fail. The main reasons identified are abstraction, weak enforcement, diffusion of responsibility, lack of integration into software development workflows, and conflict with business incentives.</w:t>
      </w:r>
    </w:p>
    <w:p w14:paraId="6254F957">
      <w:pPr>
        <w:ind w:firstLine="440" w:firstLineChars="200"/>
        <w:rPr>
          <w:rFonts w:hint="eastAsia" w:ascii="Times New Roman" w:hAnsi="Times New Roman" w:cs="Times New Roman"/>
          <w:szCs w:val="22"/>
          <w:lang w:val="en-ZA"/>
        </w:rPr>
      </w:pPr>
      <w:r>
        <w:rPr>
          <w:rFonts w:hint="eastAsia" w:ascii="Times New Roman" w:hAnsi="Times New Roman" w:cs="Times New Roman"/>
          <w:b/>
          <w:bCs/>
          <w:szCs w:val="22"/>
          <w:lang w:val="en-ZA"/>
        </w:rPr>
        <w:t>3. From ethical principles to organizational decision architecture</w:t>
      </w:r>
    </w:p>
    <w:p w14:paraId="6DDE9FA6">
      <w:pPr>
        <w:ind w:firstLine="440" w:firstLineChars="200"/>
        <w:rPr>
          <w:rFonts w:hint="eastAsia" w:ascii="Times New Roman" w:hAnsi="Times New Roman" w:eastAsia="宋体" w:cs="Times New Roman"/>
          <w:szCs w:val="22"/>
          <w:lang w:val="en-ZA" w:eastAsia="zh-CN"/>
        </w:rPr>
      </w:pPr>
      <w:r>
        <w:rPr>
          <w:rFonts w:hint="eastAsia" w:ascii="Times New Roman" w:hAnsi="Times New Roman" w:cs="Times New Roman"/>
          <w:szCs w:val="22"/>
          <w:lang w:val="en-ZA"/>
        </w:rPr>
        <w:t>This subsection develops the main argument of the report. It argues that ethical codes should not be treated only as documents. Instead, they should be transformed into organizational decision architecture. This means embedding ethical principles into review processes, documentation standards, risk management, auditing, approval gates, and accountability structures.</w:t>
      </w:r>
    </w:p>
    <w:p w14:paraId="5721722F">
      <w:pPr>
        <w:ind w:firstLine="440" w:firstLineChars="200"/>
        <w:rPr>
          <w:rFonts w:hint="eastAsia" w:ascii="Times New Roman" w:hAnsi="Times New Roman" w:cs="Times New Roman"/>
          <w:szCs w:val="22"/>
          <w:lang w:val="en-ZA"/>
        </w:rPr>
      </w:pPr>
      <w:r>
        <w:rPr>
          <w:rFonts w:hint="eastAsia" w:ascii="Times New Roman" w:hAnsi="Times New Roman" w:cs="Times New Roman"/>
          <w:b/>
          <w:bCs/>
          <w:szCs w:val="22"/>
          <w:lang w:val="en-ZA"/>
        </w:rPr>
        <w:t>4. Specific organizational interventions</w:t>
      </w:r>
    </w:p>
    <w:p w14:paraId="589653F8">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This subsection identifies practical interventions that could change engineering decisions. These include mandatory ethics and risk review gates, clear accountability ownership, datasheets for datasets, model cards, internal algorithmic audits, incentive alignment, protected escalation channels, ethics education, and post-deployment monitoring.</w:t>
      </w:r>
    </w:p>
    <w:p w14:paraId="43EA9041">
      <w:pPr>
        <w:pStyle w:val="2"/>
        <w:bidi w:val="0"/>
        <w:rPr>
          <w:rFonts w:hint="eastAsia" w:ascii="Times New Roman" w:hAnsi="Times New Roman" w:cs="Times New Roman"/>
          <w:szCs w:val="22"/>
          <w:lang w:val="en-ZA"/>
        </w:rPr>
      </w:pPr>
      <w:r>
        <w:rPr>
          <w:rFonts w:hint="eastAsia"/>
          <w:lang w:val="en-ZA"/>
        </w:rPr>
        <w:t>Week 2 Findings Draft</w:t>
      </w:r>
    </w:p>
    <w:p w14:paraId="572F35AE">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The literature suggests that the limited impact of software engineering codes of ethics is not primarily caused by individual moral failure. Instead, it is caused by a gap between abstract ethical principles and the organizational conditions of software development. McNamara et al. (2018) shows that exposure to a professional code does not significantly alter software developers’ ethical decisions. This finding supports Hagendorff’s (2020) broader argument that AI ethics guidelines often lack practical force because they do not contain strong enforcement mechanisms.</w:t>
      </w:r>
    </w:p>
    <w:p w14:paraId="34803513">
      <w:pPr>
        <w:ind w:firstLine="440" w:firstLineChars="200"/>
        <w:rPr>
          <w:rFonts w:hint="eastAsia" w:ascii="Times New Roman" w:hAnsi="Times New Roman" w:cs="Times New Roman"/>
          <w:szCs w:val="22"/>
          <w:lang w:val="en-ZA"/>
        </w:rPr>
      </w:pPr>
    </w:p>
    <w:p w14:paraId="18E128E6">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One reason for this weakness is abstraction. Ethical codes often refer to principles such as fairness, privacy, accountability, and transparency. However, these principles do not automatically tell engineers what to do when they face concrete technical trade-offs. For example, an engineer may need to decide whether to deploy a model that performs well overall but performs poorly for a minority subgroup. A general principle of fairness is relevant, but it must be translated into evaluation metrics, testing procedures, and deployment criteria before it can guide action.</w:t>
      </w:r>
    </w:p>
    <w:p w14:paraId="7F836817">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A second reason is weak enforcement. In many organizations, ethical codes are voluntary and do not carry consequences when ignored. By contrast, deadlines, product targets, revenue goals, and performance metrics often have immediate consequences. This creates a structural imbalance in which business incentives are stronger than ethical guidance.</w:t>
      </w:r>
    </w:p>
    <w:p w14:paraId="2EEFD8D0">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A third reason is diffusion of responsibility. Modern AI systems are developed by distributed teams, including data engineers, machine learning engineers, product managers, designers, legal teams, and executives. Because responsibility is spread across many actors, individuals may assume that ethical risks are someone else’s responsibility. This makes it difficult for ethical codes to influence real decisions unless accountability is clearly assigned.</w:t>
      </w:r>
    </w:p>
    <w:p w14:paraId="33B698B5">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A fourth reason is that ethical principles are often not integrated into the software development lifecycle. Engineers may have access to technical tests, code review systems, and deployment pipelines, but not to mandatory ethical review gates or documentation requirements. As a result, ethics remains external to engineering practice.</w:t>
      </w:r>
    </w:p>
    <w:p w14:paraId="02F6C68B">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The solution is to convert ethical principles into organizational mechanisms. Datasheets for datasets and model cards are examples of how ethical concerns can be translated into documentation practices. Internal algorithmic auditing provides a further mechanism for evaluating risks across the AI lifecycle. NIST’s AI Risk Management Framework, the OECD AI Principles, and the EU AI Act also show that responsible AI increasingly requires structured governance rather than voluntary ethical statements alone.</w:t>
      </w:r>
    </w:p>
    <w:p w14:paraId="2C95953F">
      <w:pPr>
        <w:pStyle w:val="2"/>
        <w:bidi w:val="0"/>
        <w:rPr>
          <w:rFonts w:hint="eastAsia"/>
          <w:lang w:val="en-ZA"/>
        </w:rPr>
      </w:pPr>
      <w:r>
        <w:rPr>
          <w:rFonts w:hint="eastAsia"/>
          <w:lang w:val="en-ZA"/>
        </w:rPr>
        <w:t>Week 2 Output</w:t>
      </w:r>
    </w:p>
    <w:p w14:paraId="27ACE920">
      <w:pPr>
        <w:ind w:firstLine="440" w:firstLineChars="200"/>
        <w:rPr>
          <w:rFonts w:hint="eastAsia" w:ascii="Times New Roman" w:hAnsi="Times New Roman" w:cs="Times New Roman"/>
          <w:szCs w:val="22"/>
          <w:lang w:val="en-ZA"/>
        </w:rPr>
      </w:pPr>
      <w:r>
        <w:rPr>
          <w:rFonts w:hint="eastAsia" w:ascii="Times New Roman" w:hAnsi="Times New Roman" w:cs="Times New Roman"/>
          <w:szCs w:val="22"/>
          <w:lang w:val="en-ZA"/>
        </w:rPr>
        <w:t>By the end of Week 2, I had collected and reviewed additional academic and institutional sources, created a source summary table, developed the structure of the Findings section, and drafted the main arguments explaining why ethical codes have limited impact and how organizational interventions could improve responsible AI practice.</w:t>
      </w:r>
    </w:p>
    <w:p w14:paraId="1BF9A68F">
      <w:pPr>
        <w:ind w:firstLine="440" w:firstLineChars="200"/>
        <w:rPr>
          <w:rFonts w:hint="eastAsia" w:ascii="Times New Roman" w:hAnsi="Times New Roman" w:cs="Times New Roman"/>
          <w:szCs w:val="22"/>
          <w:lang w:val="en-ZA"/>
        </w:rPr>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62C73">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C0451C">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BC0451C">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123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Arial" w:hAnsi="Arial" w:eastAsia="Times New Roman" w:cs="Arial"/>
      <w:iCs/>
      <w:kern w:val="0"/>
      <w:sz w:val="22"/>
      <w:szCs w:val="28"/>
      <w:lang w:val="en-ZA" w:eastAsia="en-US" w:bidi="ar-SA"/>
      <w14:ligatures w14:val="none"/>
    </w:rPr>
  </w:style>
  <w:style w:type="paragraph" w:styleId="2">
    <w:name w:val="heading 1"/>
    <w:basedOn w:val="1"/>
    <w:next w:val="1"/>
    <w:qFormat/>
    <w:uiPriority w:val="0"/>
    <w:pPr>
      <w:keepNext/>
      <w:spacing w:before="240" w:after="120"/>
      <w:jc w:val="center"/>
      <w:outlineLvl w:val="0"/>
    </w:pPr>
    <w:rPr>
      <w:rFonts w:ascii="Times New Roman" w:hAnsi="Times New Roman" w:eastAsia="宋体" w:cs="Times New Roman"/>
      <w:b/>
      <w:bCs/>
      <w:caps/>
      <w:kern w:val="32"/>
      <w:sz w:val="32"/>
      <w:szCs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Proposal Title"/>
    <w:basedOn w:val="1"/>
    <w:next w:val="2"/>
    <w:qFormat/>
    <w:uiPriority w:val="0"/>
    <w:pPr>
      <w:spacing w:after="360"/>
      <w:contextualSpacing/>
      <w:jc w:val="center"/>
    </w:pPr>
    <w:rPr>
      <w:rFonts w:ascii="Times New Roman" w:hAnsi="Times New Roman"/>
      <w:b/>
      <w:cap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2026-05-22T14:39:17Z</dcterms:created>
  <dc:creator>lenovo</dc:creator>
  <cp:lastModifiedBy>一念无明</cp:lastModifiedBy>
  <dcterms:modified xsi:type="dcterms:W3CDTF">2026-05-22T14:45:43Z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eyJoZGlkIjoiN2M2ZmFhYjU4YTM5Mzg1MGRkOGZiZDcwYWM0NThmYjciLCJ1c2VySWQiOiIxNTQxODQyNzI1In0=</vt:lpwstr>
  </property>
  <property fmtid="{D5CDD505-2E9C-101B-9397-08002B2CF9AE}" pid="4" name="ICV">
    <vt:lpwstr>84BE90E02A33452489499731ED86897C_12</vt:lpwstr>
  </property>
</Properties>
</file>