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1FC8" w:rsidRPr="00FB1FC8" w:rsidRDefault="00FB1FC8" w:rsidP="00FB1FC8">
      <w:pPr>
        <w:rPr>
          <w:b/>
          <w:bCs/>
        </w:rPr>
      </w:pPr>
      <w:r w:rsidRPr="00FB1FC8">
        <w:rPr>
          <w:b/>
          <w:bCs/>
        </w:rPr>
        <w:t>Overview of OAuth2 (via IdentityServer4)</w:t>
      </w:r>
    </w:p>
    <w:p w:rsidR="00FB1FC8" w:rsidRPr="00FB1FC8" w:rsidRDefault="00FB1FC8" w:rsidP="00FB1FC8">
      <w:r w:rsidRPr="00FB1FC8">
        <w:rPr>
          <w:b/>
          <w:bCs/>
        </w:rPr>
        <w:t>OAuth 2.0</w:t>
      </w:r>
      <w:r w:rsidRPr="00FB1FC8">
        <w:t> is an open standard authorization protocol that allows applications to obtain limited access to user resources on an HTTP service, typically via access tokens, without exposing the user's credentials. It is designed to enable secure delegated access, where a user can authorize a third-party application to act on their behalf for specific resources.</w:t>
      </w:r>
    </w:p>
    <w:p w:rsidR="00FB1FC8" w:rsidRPr="00FB1FC8" w:rsidRDefault="00FB1FC8" w:rsidP="00FB1FC8">
      <w:r w:rsidRPr="00FB1FC8">
        <w:rPr>
          <w:b/>
          <w:bCs/>
        </w:rPr>
        <w:t>IdentityServer4</w:t>
      </w:r>
      <w:r w:rsidRPr="00FB1FC8">
        <w:t> is an open-source framework for ASP.NET Core that implements both the OAuth 2.0 and OpenID Connect (OIDC) protocols. It serves as a centralized authentication and authorization server (also known as a Security Token Service or STS), issuing security tokens (such as JWTs) to clients (applications) after authenticating users.</w:t>
      </w:r>
    </w:p>
    <w:p w:rsidR="00FB1FC8" w:rsidRPr="00FB1FC8" w:rsidRDefault="00FB1FC8" w:rsidP="00FB1FC8">
      <w:pPr>
        <w:rPr>
          <w:b/>
          <w:bCs/>
        </w:rPr>
      </w:pPr>
      <w:r w:rsidRPr="00FB1FC8">
        <w:rPr>
          <w:b/>
          <w:bCs/>
        </w:rPr>
        <w:t>How OAuth2 Works (with IdentityServer4)</w:t>
      </w:r>
    </w:p>
    <w:p w:rsidR="00FB1FC8" w:rsidRPr="00FB1FC8" w:rsidRDefault="00FB1FC8" w:rsidP="00FB1FC8">
      <w:pPr>
        <w:numPr>
          <w:ilvl w:val="0"/>
          <w:numId w:val="1"/>
        </w:numPr>
      </w:pPr>
      <w:r w:rsidRPr="00FB1FC8">
        <w:rPr>
          <w:b/>
          <w:bCs/>
        </w:rPr>
        <w:t>Roles in OAuth2:</w:t>
      </w:r>
    </w:p>
    <w:p w:rsidR="00FB1FC8" w:rsidRPr="00FB1FC8" w:rsidRDefault="00FB1FC8" w:rsidP="00FB1FC8">
      <w:pPr>
        <w:numPr>
          <w:ilvl w:val="1"/>
          <w:numId w:val="1"/>
        </w:numPr>
      </w:pPr>
      <w:r w:rsidRPr="00FB1FC8">
        <w:rPr>
          <w:i/>
          <w:iCs/>
        </w:rPr>
        <w:t>Resource Owner</w:t>
      </w:r>
      <w:r w:rsidRPr="00FB1FC8">
        <w:t>: The user who owns the data or resource.</w:t>
      </w:r>
    </w:p>
    <w:p w:rsidR="00FB1FC8" w:rsidRPr="00FB1FC8" w:rsidRDefault="00FB1FC8" w:rsidP="00FB1FC8">
      <w:pPr>
        <w:numPr>
          <w:ilvl w:val="1"/>
          <w:numId w:val="1"/>
        </w:numPr>
      </w:pPr>
      <w:r w:rsidRPr="00FB1FC8">
        <w:rPr>
          <w:i/>
          <w:iCs/>
        </w:rPr>
        <w:t>Client</w:t>
      </w:r>
      <w:r w:rsidRPr="00FB1FC8">
        <w:t>: The application requesting access to the resource.</w:t>
      </w:r>
    </w:p>
    <w:p w:rsidR="00FB1FC8" w:rsidRPr="00FB1FC8" w:rsidRDefault="00FB1FC8" w:rsidP="00FB1FC8">
      <w:pPr>
        <w:numPr>
          <w:ilvl w:val="1"/>
          <w:numId w:val="1"/>
        </w:numPr>
      </w:pPr>
      <w:r w:rsidRPr="00FB1FC8">
        <w:rPr>
          <w:i/>
          <w:iCs/>
        </w:rPr>
        <w:t>Resource Server</w:t>
      </w:r>
      <w:r w:rsidRPr="00FB1FC8">
        <w:t>: The API that holds the protected data.</w:t>
      </w:r>
    </w:p>
    <w:p w:rsidR="00FB1FC8" w:rsidRDefault="00FB1FC8" w:rsidP="00FB1FC8">
      <w:pPr>
        <w:numPr>
          <w:ilvl w:val="1"/>
          <w:numId w:val="1"/>
        </w:numPr>
      </w:pPr>
      <w:r w:rsidRPr="00FB1FC8">
        <w:rPr>
          <w:i/>
          <w:iCs/>
        </w:rPr>
        <w:t>Authorization Server</w:t>
      </w:r>
      <w:r w:rsidRPr="00FB1FC8">
        <w:t>: The service (e.g., IdentityServer4) that authenticates the user and issues tokens.</w:t>
      </w:r>
    </w:p>
    <w:p w:rsidR="00FB1FC8" w:rsidRDefault="00FB1FC8" w:rsidP="00FB1FC8">
      <w:pPr>
        <w:rPr>
          <w:i/>
          <w:iCs/>
        </w:rPr>
      </w:pPr>
    </w:p>
    <w:p w:rsidR="00FB1FC8" w:rsidRPr="00FB1FC8" w:rsidRDefault="00FB1FC8" w:rsidP="00FB1FC8">
      <w:pPr>
        <w:numPr>
          <w:ilvl w:val="0"/>
          <w:numId w:val="2"/>
        </w:numPr>
      </w:pPr>
      <w:r w:rsidRPr="00FB1FC8">
        <w:rPr>
          <w:b/>
          <w:bCs/>
        </w:rPr>
        <w:t>Typical Flow:</w:t>
      </w:r>
    </w:p>
    <w:p w:rsidR="00FB1FC8" w:rsidRPr="00FB1FC8" w:rsidRDefault="00FB1FC8" w:rsidP="00FB1FC8">
      <w:pPr>
        <w:numPr>
          <w:ilvl w:val="1"/>
          <w:numId w:val="2"/>
        </w:numPr>
      </w:pPr>
      <w:r w:rsidRPr="00FB1FC8">
        <w:t>The client application redirects the user to the authorization server (IdentityServer4) for authentication and consent.</w:t>
      </w:r>
    </w:p>
    <w:p w:rsidR="00FB1FC8" w:rsidRPr="00FB1FC8" w:rsidRDefault="00FB1FC8" w:rsidP="00FB1FC8">
      <w:pPr>
        <w:numPr>
          <w:ilvl w:val="1"/>
          <w:numId w:val="2"/>
        </w:numPr>
      </w:pPr>
      <w:r w:rsidRPr="00FB1FC8">
        <w:t>Upon successful authentication and authorization, IdentityServer4 issues an access token (and optionally a refresh token and ID token if using OIDC).</w:t>
      </w:r>
    </w:p>
    <w:p w:rsidR="00FB1FC8" w:rsidRPr="00FB1FC8" w:rsidRDefault="00FB1FC8" w:rsidP="00FB1FC8">
      <w:pPr>
        <w:numPr>
          <w:ilvl w:val="1"/>
          <w:numId w:val="2"/>
        </w:numPr>
      </w:pPr>
      <w:r w:rsidRPr="00FB1FC8">
        <w:t>The client uses the access token to access protected resources from the API on behalf of the user.</w:t>
      </w:r>
    </w:p>
    <w:p w:rsidR="00FB1FC8" w:rsidRPr="00FB1FC8" w:rsidRDefault="00FB1FC8" w:rsidP="00FB1FC8">
      <w:pPr>
        <w:numPr>
          <w:ilvl w:val="0"/>
          <w:numId w:val="2"/>
        </w:numPr>
      </w:pPr>
      <w:r w:rsidRPr="00FB1FC8">
        <w:rPr>
          <w:b/>
          <w:bCs/>
        </w:rPr>
        <w:t>OAuth2 Grant Types (Flows):</w:t>
      </w:r>
    </w:p>
    <w:p w:rsidR="00FB1FC8" w:rsidRPr="00FB1FC8" w:rsidRDefault="00FB1FC8" w:rsidP="00FB1FC8">
      <w:pPr>
        <w:numPr>
          <w:ilvl w:val="1"/>
          <w:numId w:val="3"/>
        </w:numPr>
      </w:pPr>
      <w:r w:rsidRPr="00FB1FC8">
        <w:rPr>
          <w:i/>
          <w:iCs/>
        </w:rPr>
        <w:t>Authorization Code</w:t>
      </w:r>
      <w:r w:rsidRPr="00FB1FC8">
        <w:t>: Most secure, uses both front and back channels; suitable for web and mobile apps.</w:t>
      </w:r>
    </w:p>
    <w:p w:rsidR="00FB1FC8" w:rsidRPr="00FB1FC8" w:rsidRDefault="00FB1FC8" w:rsidP="00FB1FC8">
      <w:pPr>
        <w:numPr>
          <w:ilvl w:val="1"/>
          <w:numId w:val="3"/>
        </w:numPr>
      </w:pPr>
      <w:r w:rsidRPr="00FB1FC8">
        <w:rPr>
          <w:i/>
          <w:iCs/>
        </w:rPr>
        <w:t>Implicit</w:t>
      </w:r>
      <w:r w:rsidRPr="00FB1FC8">
        <w:t>: For browser-based apps, less secure, now discouraged.</w:t>
      </w:r>
    </w:p>
    <w:p w:rsidR="00FB1FC8" w:rsidRPr="00FB1FC8" w:rsidRDefault="00FB1FC8" w:rsidP="00FB1FC8">
      <w:pPr>
        <w:numPr>
          <w:ilvl w:val="1"/>
          <w:numId w:val="3"/>
        </w:numPr>
      </w:pPr>
      <w:r w:rsidRPr="00FB1FC8">
        <w:rPr>
          <w:i/>
          <w:iCs/>
        </w:rPr>
        <w:t>Resource Owner Password Credentials</w:t>
      </w:r>
      <w:r w:rsidRPr="00FB1FC8">
        <w:t>: For legacy or trusted apps, rarely recommended.</w:t>
      </w:r>
    </w:p>
    <w:p w:rsidR="00FB1FC8" w:rsidRPr="00FB1FC8" w:rsidRDefault="00FB1FC8" w:rsidP="00FB1FC8">
      <w:pPr>
        <w:numPr>
          <w:ilvl w:val="1"/>
          <w:numId w:val="3"/>
        </w:numPr>
      </w:pPr>
      <w:r w:rsidRPr="00FB1FC8">
        <w:rPr>
          <w:i/>
          <w:iCs/>
        </w:rPr>
        <w:lastRenderedPageBreak/>
        <w:t>Client Credentials</w:t>
      </w:r>
      <w:r w:rsidRPr="00FB1FC8">
        <w:t>: For service-to-service communication</w:t>
      </w:r>
      <w:hyperlink r:id="rId5" w:tgtFrame="_blank" w:history="1">
        <w:r w:rsidRPr="00FB1FC8">
          <w:rPr>
            <w:rStyle w:val="Hyperlink"/>
          </w:rPr>
          <w:t>2</w:t>
        </w:r>
      </w:hyperlink>
      <w:r w:rsidRPr="00FB1FC8">
        <w:t>.</w:t>
      </w:r>
    </w:p>
    <w:p w:rsidR="00FB1FC8" w:rsidRPr="00FB1FC8" w:rsidRDefault="00FB1FC8" w:rsidP="00FB1FC8">
      <w:r w:rsidRPr="00FB1FC8">
        <w:pict>
          <v:rect id="_x0000_i1031" style="width:0;height:.75pt" o:hralign="center" o:hrstd="t" o:hr="t" fillcolor="#a0a0a0" stroked="f"/>
        </w:pict>
      </w:r>
    </w:p>
    <w:p w:rsidR="00FB1FC8" w:rsidRPr="00FB1FC8" w:rsidRDefault="00FB1FC8" w:rsidP="00FB1FC8">
      <w:r w:rsidRPr="00FB1FC8">
        <w:t>IdentityServer4’s Role</w:t>
      </w:r>
    </w:p>
    <w:p w:rsidR="00FB1FC8" w:rsidRPr="00FB1FC8" w:rsidRDefault="00FB1FC8" w:rsidP="00FB1FC8">
      <w:pPr>
        <w:numPr>
          <w:ilvl w:val="0"/>
          <w:numId w:val="4"/>
        </w:numPr>
      </w:pPr>
      <w:r w:rsidRPr="00FB1FC8">
        <w:rPr>
          <w:b/>
          <w:bCs/>
        </w:rPr>
        <w:t>Implements OAuth2 and OIDC:</w:t>
      </w:r>
      <w:r w:rsidRPr="00FB1FC8">
        <w:t> IdentityServer4 provides all the necessary endpoints and logic to handle OAuth2 flows and OIDC authentication, including issuing, validating, and revoking tokens.</w:t>
      </w:r>
    </w:p>
    <w:p w:rsidR="00FB1FC8" w:rsidRPr="00FB1FC8" w:rsidRDefault="00FB1FC8" w:rsidP="00FB1FC8">
      <w:pPr>
        <w:numPr>
          <w:ilvl w:val="0"/>
          <w:numId w:val="4"/>
        </w:numPr>
      </w:pPr>
      <w:r w:rsidRPr="00FB1FC8">
        <w:rPr>
          <w:b/>
          <w:bCs/>
        </w:rPr>
        <w:t>Centralized Security:</w:t>
      </w:r>
      <w:r w:rsidRPr="00FB1FC8">
        <w:t> It acts as a single point for authentication and authorization across multiple applications and APIs, reducing duplication and improving security</w:t>
      </w:r>
      <w:hyperlink r:id="rId6" w:tgtFrame="_blank" w:history="1">
        <w:r w:rsidRPr="00FB1FC8">
          <w:rPr>
            <w:rStyle w:val="Hyperlink"/>
          </w:rPr>
          <w:t>5</w:t>
        </w:r>
      </w:hyperlink>
      <w:r w:rsidRPr="00FB1FC8">
        <w:t>.</w:t>
      </w:r>
    </w:p>
    <w:p w:rsidR="00FB1FC8" w:rsidRPr="00FB1FC8" w:rsidRDefault="00FB1FC8" w:rsidP="00FB1FC8">
      <w:pPr>
        <w:numPr>
          <w:ilvl w:val="0"/>
          <w:numId w:val="4"/>
        </w:numPr>
      </w:pPr>
      <w:r w:rsidRPr="00FB1FC8">
        <w:rPr>
          <w:b/>
          <w:bCs/>
        </w:rPr>
        <w:t>Token Types Issued:</w:t>
      </w:r>
    </w:p>
    <w:p w:rsidR="00FB1FC8" w:rsidRPr="00FB1FC8" w:rsidRDefault="00FB1FC8" w:rsidP="00FB1FC8">
      <w:pPr>
        <w:numPr>
          <w:ilvl w:val="1"/>
          <w:numId w:val="4"/>
        </w:numPr>
      </w:pPr>
      <w:r w:rsidRPr="00FB1FC8">
        <w:rPr>
          <w:i/>
          <w:iCs/>
        </w:rPr>
        <w:t>Access Token</w:t>
      </w:r>
      <w:r w:rsidRPr="00FB1FC8">
        <w:t>: Used by clients to access APIs.</w:t>
      </w:r>
    </w:p>
    <w:p w:rsidR="00FB1FC8" w:rsidRPr="00FB1FC8" w:rsidRDefault="00FB1FC8" w:rsidP="00FB1FC8">
      <w:pPr>
        <w:numPr>
          <w:ilvl w:val="1"/>
          <w:numId w:val="4"/>
        </w:numPr>
      </w:pPr>
      <w:r w:rsidRPr="00FB1FC8">
        <w:rPr>
          <w:i/>
          <w:iCs/>
        </w:rPr>
        <w:t>ID Token</w:t>
      </w:r>
      <w:r w:rsidRPr="00FB1FC8">
        <w:t>: (OIDC) Contains user identity information.</w:t>
      </w:r>
    </w:p>
    <w:p w:rsidR="00FB1FC8" w:rsidRPr="00FB1FC8" w:rsidRDefault="00FB1FC8" w:rsidP="00FB1FC8">
      <w:pPr>
        <w:numPr>
          <w:ilvl w:val="1"/>
          <w:numId w:val="4"/>
        </w:numPr>
      </w:pPr>
      <w:r w:rsidRPr="00FB1FC8">
        <w:rPr>
          <w:i/>
          <w:iCs/>
        </w:rPr>
        <w:t>Refresh Token</w:t>
      </w:r>
      <w:r w:rsidRPr="00FB1FC8">
        <w:t>: Used to obtain new tokens without re-authenticating</w:t>
      </w:r>
      <w:hyperlink r:id="rId7" w:tgtFrame="_blank" w:history="1">
        <w:r w:rsidRPr="00FB1FC8">
          <w:rPr>
            <w:rStyle w:val="Hyperlink"/>
          </w:rPr>
          <w:t>4</w:t>
        </w:r>
      </w:hyperlink>
      <w:r w:rsidRPr="00FB1FC8">
        <w:t>.</w:t>
      </w:r>
    </w:p>
    <w:p w:rsidR="00FB1FC8" w:rsidRPr="00FB1FC8" w:rsidRDefault="00FB1FC8" w:rsidP="00FB1FC8">
      <w:pPr>
        <w:numPr>
          <w:ilvl w:val="0"/>
          <w:numId w:val="4"/>
        </w:numPr>
      </w:pPr>
      <w:r w:rsidRPr="00FB1FC8">
        <w:rPr>
          <w:b/>
          <w:bCs/>
        </w:rPr>
        <w:t>Endpoints Provided:</w:t>
      </w:r>
    </w:p>
    <w:p w:rsidR="00FB1FC8" w:rsidRPr="00FB1FC8" w:rsidRDefault="00FB1FC8" w:rsidP="00FB1FC8">
      <w:pPr>
        <w:numPr>
          <w:ilvl w:val="1"/>
          <w:numId w:val="4"/>
        </w:numPr>
      </w:pPr>
      <w:r w:rsidRPr="00FB1FC8">
        <w:t>/</w:t>
      </w:r>
      <w:proofErr w:type="gramStart"/>
      <w:r w:rsidRPr="00FB1FC8">
        <w:t>authorize</w:t>
      </w:r>
      <w:proofErr w:type="gramEnd"/>
      <w:r w:rsidRPr="00FB1FC8">
        <w:t>: Initiates authentication and authorization.</w:t>
      </w:r>
    </w:p>
    <w:p w:rsidR="00FB1FC8" w:rsidRPr="00FB1FC8" w:rsidRDefault="00FB1FC8" w:rsidP="00FB1FC8">
      <w:pPr>
        <w:numPr>
          <w:ilvl w:val="1"/>
          <w:numId w:val="4"/>
        </w:numPr>
      </w:pPr>
      <w:r w:rsidRPr="00FB1FC8">
        <w:t>/</w:t>
      </w:r>
      <w:proofErr w:type="gramStart"/>
      <w:r w:rsidRPr="00FB1FC8">
        <w:t>token</w:t>
      </w:r>
      <w:proofErr w:type="gramEnd"/>
      <w:r w:rsidRPr="00FB1FC8">
        <w:t>: Issues tokens.</w:t>
      </w:r>
    </w:p>
    <w:p w:rsidR="00FB1FC8" w:rsidRPr="00FB1FC8" w:rsidRDefault="00FB1FC8" w:rsidP="00FB1FC8">
      <w:pPr>
        <w:numPr>
          <w:ilvl w:val="1"/>
          <w:numId w:val="4"/>
        </w:numPr>
      </w:pPr>
      <w:r w:rsidRPr="00FB1FC8">
        <w:t>/</w:t>
      </w:r>
      <w:proofErr w:type="spellStart"/>
      <w:proofErr w:type="gramStart"/>
      <w:r w:rsidRPr="00FB1FC8">
        <w:t>userinfo</w:t>
      </w:r>
      <w:proofErr w:type="spellEnd"/>
      <w:proofErr w:type="gramEnd"/>
      <w:r w:rsidRPr="00FB1FC8">
        <w:t>: (OIDC) Returns user claims.</w:t>
      </w:r>
    </w:p>
    <w:p w:rsidR="00FB1FC8" w:rsidRPr="00FB1FC8" w:rsidRDefault="00FB1FC8" w:rsidP="00FB1FC8">
      <w:pPr>
        <w:numPr>
          <w:ilvl w:val="1"/>
          <w:numId w:val="4"/>
        </w:numPr>
      </w:pPr>
      <w:r w:rsidRPr="00FB1FC8">
        <w:t>/</w:t>
      </w:r>
      <w:proofErr w:type="gramStart"/>
      <w:r w:rsidRPr="00FB1FC8">
        <w:t>revocation</w:t>
      </w:r>
      <w:proofErr w:type="gramEnd"/>
      <w:r w:rsidRPr="00FB1FC8">
        <w:t>: Revokes tokens.</w:t>
      </w:r>
    </w:p>
    <w:p w:rsidR="00FB1FC8" w:rsidRPr="00FB1FC8" w:rsidRDefault="00FB1FC8" w:rsidP="00FB1FC8">
      <w:pPr>
        <w:numPr>
          <w:ilvl w:val="1"/>
          <w:numId w:val="4"/>
        </w:numPr>
      </w:pPr>
      <w:proofErr w:type="gramStart"/>
      <w:r w:rsidRPr="00FB1FC8">
        <w:t>/.well</w:t>
      </w:r>
      <w:proofErr w:type="gramEnd"/>
      <w:r w:rsidRPr="00FB1FC8">
        <w:t>-known/</w:t>
      </w:r>
      <w:proofErr w:type="spellStart"/>
      <w:r w:rsidRPr="00FB1FC8">
        <w:t>openid</w:t>
      </w:r>
      <w:proofErr w:type="spellEnd"/>
      <w:r w:rsidRPr="00FB1FC8">
        <w:t>-configuration: Discovery document for client auto-configuration.</w:t>
      </w:r>
    </w:p>
    <w:p w:rsidR="00FB1FC8" w:rsidRPr="00FB1FC8" w:rsidRDefault="00FB1FC8" w:rsidP="00FB1FC8">
      <w:pPr>
        <w:pStyle w:val="ListParagraph"/>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fkGrotesk Fallback" w:eastAsia="Times New Roman" w:hAnsi="fkGrotesk Fallback" w:cs="Times New Roman"/>
          <w:kern w:val="0"/>
          <w:sz w:val="36"/>
          <w:szCs w:val="36"/>
          <w14:ligatures w14:val="none"/>
        </w:rPr>
      </w:pPr>
      <w:r w:rsidRPr="00FB1FC8">
        <w:rPr>
          <w:rFonts w:ascii="fkGrotesk Fallback" w:eastAsia="Times New Roman" w:hAnsi="fkGrotesk Fallback" w:cs="Times New Roman"/>
          <w:kern w:val="0"/>
          <w:sz w:val="36"/>
          <w:szCs w:val="36"/>
          <w14:ligatures w14:val="none"/>
        </w:rPr>
        <w:t>Summary</w:t>
      </w:r>
    </w:p>
    <w:p w:rsidR="00FB1FC8" w:rsidRPr="00FB1FC8" w:rsidRDefault="00FB1FC8" w:rsidP="00FB1FC8">
      <w:pPr>
        <w:pStyle w:val="ListParagraph"/>
        <w:numPr>
          <w:ilvl w:val="0"/>
          <w:numId w:val="4"/>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FB1FC8">
        <w:rPr>
          <w:rFonts w:ascii="Segoe UI" w:eastAsia="Times New Roman" w:hAnsi="Segoe UI" w:cs="Segoe UI"/>
          <w:b/>
          <w:bCs/>
          <w:kern w:val="0"/>
          <w:bdr w:val="single" w:sz="2" w:space="0" w:color="E5E7EB" w:frame="1"/>
          <w14:ligatures w14:val="none"/>
        </w:rPr>
        <w:t>OAuth2 (via IdentityServer4)</w:t>
      </w:r>
      <w:r w:rsidRPr="00FB1FC8">
        <w:rPr>
          <w:rFonts w:ascii="Segoe UI" w:eastAsia="Times New Roman" w:hAnsi="Segoe UI" w:cs="Segoe UI"/>
          <w:kern w:val="0"/>
          <w14:ligatures w14:val="none"/>
        </w:rPr>
        <w:t> is a robust approach for securing APIs and applications. IdentityServer4 acts as an authorization server, implementing OAuth2 and OIDC protocols, handling user authentication, issuing tokens, and centralizing security for modern web, mobile, and microservices architectures</w:t>
      </w:r>
      <w:r w:rsidR="003C6AEC">
        <w:rPr>
          <w:rFonts w:ascii="Segoe UI" w:eastAsia="Times New Roman" w:hAnsi="Segoe UI" w:cs="Segoe UI"/>
          <w:kern w:val="0"/>
          <w14:ligatures w14:val="none"/>
        </w:rPr>
        <w:t>.</w:t>
      </w:r>
      <w:r w:rsidRPr="00FB1FC8">
        <w:rPr>
          <w:rFonts w:ascii="Segoe UI" w:eastAsia="Times New Roman" w:hAnsi="Segoe UI" w:cs="Segoe UI"/>
          <w:kern w:val="0"/>
          <w14:ligatures w14:val="none"/>
        </w:rPr>
        <w:t> This enables secure, scalable, and standards-compliant authentication and authorization across multiple applications.</w:t>
      </w:r>
    </w:p>
    <w:p w:rsidR="00FB1FC8" w:rsidRPr="00FB1FC8" w:rsidRDefault="00FB1FC8" w:rsidP="00FB1FC8"/>
    <w:p w:rsidR="00FB1FC8" w:rsidRDefault="00FB1FC8"/>
    <w:p w:rsidR="00FB1FC8" w:rsidRDefault="00FB1FC8">
      <w:r>
        <w:br w:type="page"/>
      </w:r>
    </w:p>
    <w:tbl>
      <w:tblPr>
        <w:tblStyle w:val="TableGrid"/>
        <w:tblpPr w:leftFromText="180" w:rightFromText="180" w:vertAnchor="text" w:horzAnchor="margin" w:tblpY="7771"/>
        <w:tblW w:w="10478" w:type="dxa"/>
        <w:tblLook w:val="04A0" w:firstRow="1" w:lastRow="0" w:firstColumn="1" w:lastColumn="0" w:noHBand="0" w:noVBand="1"/>
      </w:tblPr>
      <w:tblGrid>
        <w:gridCol w:w="2335"/>
        <w:gridCol w:w="3420"/>
        <w:gridCol w:w="4723"/>
      </w:tblGrid>
      <w:tr w:rsidR="00FB1FC8" w:rsidRPr="000C791A" w:rsidTr="00FB1FC8">
        <w:trPr>
          <w:trHeight w:val="350"/>
        </w:trPr>
        <w:tc>
          <w:tcPr>
            <w:tcW w:w="2335" w:type="dxa"/>
            <w:vAlign w:val="bottom"/>
          </w:tcPr>
          <w:p w:rsidR="00FB1FC8" w:rsidRPr="000C791A" w:rsidRDefault="00FB1FC8" w:rsidP="00FB1FC8">
            <w:pPr>
              <w:jc w:val="center"/>
              <w:rPr>
                <w:rFonts w:ascii="Calibri" w:hAnsi="Calibri" w:cs="Calibri"/>
                <w:b/>
                <w:bCs/>
                <w:color w:val="000000"/>
                <w:sz w:val="22"/>
                <w:szCs w:val="22"/>
              </w:rPr>
            </w:pPr>
            <w:r w:rsidRPr="000C791A">
              <w:rPr>
                <w:rFonts w:ascii="Calibri" w:hAnsi="Calibri" w:cs="Calibri"/>
                <w:b/>
                <w:bCs/>
                <w:color w:val="000000"/>
                <w:sz w:val="22"/>
                <w:szCs w:val="22"/>
              </w:rPr>
              <w:lastRenderedPageBreak/>
              <w:t>Feature</w:t>
            </w:r>
          </w:p>
        </w:tc>
        <w:tc>
          <w:tcPr>
            <w:tcW w:w="3420" w:type="dxa"/>
            <w:vAlign w:val="bottom"/>
          </w:tcPr>
          <w:p w:rsidR="00FB1FC8" w:rsidRPr="000C791A" w:rsidRDefault="00FB1FC8" w:rsidP="00FB1FC8">
            <w:pPr>
              <w:jc w:val="center"/>
              <w:rPr>
                <w:rFonts w:ascii="Calibri" w:hAnsi="Calibri" w:cs="Calibri"/>
                <w:b/>
                <w:bCs/>
                <w:color w:val="000000"/>
                <w:sz w:val="22"/>
                <w:szCs w:val="22"/>
              </w:rPr>
            </w:pPr>
            <w:r w:rsidRPr="000C791A">
              <w:rPr>
                <w:rFonts w:ascii="Calibri" w:hAnsi="Calibri" w:cs="Calibri"/>
                <w:b/>
                <w:bCs/>
                <w:color w:val="000000"/>
                <w:sz w:val="22"/>
                <w:szCs w:val="22"/>
              </w:rPr>
              <w:t>OAuth2 (via IdentityServer4)</w:t>
            </w:r>
          </w:p>
        </w:tc>
        <w:tc>
          <w:tcPr>
            <w:tcW w:w="4723" w:type="dxa"/>
            <w:vAlign w:val="bottom"/>
          </w:tcPr>
          <w:p w:rsidR="00FB1FC8" w:rsidRPr="000C791A" w:rsidRDefault="00FB1FC8" w:rsidP="00FB1FC8">
            <w:pPr>
              <w:jc w:val="center"/>
              <w:rPr>
                <w:rFonts w:ascii="Calibri" w:hAnsi="Calibri" w:cs="Calibri"/>
                <w:b/>
                <w:bCs/>
                <w:color w:val="000000"/>
                <w:sz w:val="22"/>
                <w:szCs w:val="22"/>
              </w:rPr>
            </w:pPr>
            <w:r w:rsidRPr="000C791A">
              <w:rPr>
                <w:rFonts w:ascii="Calibri" w:hAnsi="Calibri" w:cs="Calibri"/>
                <w:b/>
                <w:bCs/>
                <w:color w:val="000000"/>
                <w:sz w:val="22"/>
                <w:szCs w:val="22"/>
              </w:rPr>
              <w:t>OpenID Connect (via IdentityServer4)</w:t>
            </w:r>
          </w:p>
        </w:tc>
      </w:tr>
      <w:tr w:rsidR="00FB1FC8" w:rsidTr="00FB1FC8">
        <w:trPr>
          <w:trHeight w:val="333"/>
        </w:trPr>
        <w:tc>
          <w:tcPr>
            <w:tcW w:w="2335" w:type="dxa"/>
            <w:vAlign w:val="bottom"/>
          </w:tcPr>
          <w:p w:rsidR="00FB1FC8" w:rsidRDefault="00FB1FC8" w:rsidP="00FB1FC8">
            <w:pPr>
              <w:rPr>
                <w:rFonts w:ascii="Calibri" w:hAnsi="Calibri" w:cs="Calibri"/>
                <w:color w:val="000000"/>
                <w:sz w:val="22"/>
                <w:szCs w:val="22"/>
              </w:rPr>
            </w:pPr>
            <w:r>
              <w:rPr>
                <w:rFonts w:ascii="Calibri" w:hAnsi="Calibri" w:cs="Calibri"/>
                <w:color w:val="000000"/>
                <w:sz w:val="22"/>
                <w:szCs w:val="22"/>
              </w:rPr>
              <w:t>Token Type</w:t>
            </w:r>
          </w:p>
        </w:tc>
        <w:tc>
          <w:tcPr>
            <w:tcW w:w="3420" w:type="dxa"/>
            <w:vAlign w:val="bottom"/>
          </w:tcPr>
          <w:p w:rsidR="00FB1FC8" w:rsidRDefault="00FB1FC8" w:rsidP="00FB1FC8">
            <w:pPr>
              <w:rPr>
                <w:rFonts w:ascii="Calibri" w:hAnsi="Calibri" w:cs="Calibri"/>
                <w:color w:val="000000"/>
                <w:sz w:val="22"/>
                <w:szCs w:val="22"/>
              </w:rPr>
            </w:pPr>
            <w:r>
              <w:rPr>
                <w:rFonts w:ascii="Calibri" w:hAnsi="Calibri" w:cs="Calibri"/>
                <w:color w:val="000000"/>
                <w:sz w:val="22"/>
                <w:szCs w:val="22"/>
              </w:rPr>
              <w:t>Access Token</w:t>
            </w:r>
          </w:p>
        </w:tc>
        <w:tc>
          <w:tcPr>
            <w:tcW w:w="4723" w:type="dxa"/>
            <w:vAlign w:val="bottom"/>
          </w:tcPr>
          <w:p w:rsidR="00FB1FC8" w:rsidRDefault="00FB1FC8" w:rsidP="00FB1FC8">
            <w:pPr>
              <w:rPr>
                <w:rFonts w:ascii="Calibri" w:hAnsi="Calibri" w:cs="Calibri"/>
                <w:color w:val="000000"/>
                <w:sz w:val="22"/>
                <w:szCs w:val="22"/>
              </w:rPr>
            </w:pPr>
            <w:r>
              <w:rPr>
                <w:rFonts w:ascii="Calibri" w:hAnsi="Calibri" w:cs="Calibri"/>
                <w:color w:val="000000"/>
                <w:sz w:val="22"/>
                <w:szCs w:val="22"/>
              </w:rPr>
              <w:t>ID Token (plus Access Token)</w:t>
            </w:r>
          </w:p>
        </w:tc>
      </w:tr>
      <w:tr w:rsidR="00FB1FC8" w:rsidTr="00FB1FC8">
        <w:trPr>
          <w:trHeight w:val="333"/>
        </w:trPr>
        <w:tc>
          <w:tcPr>
            <w:tcW w:w="2335" w:type="dxa"/>
            <w:vAlign w:val="bottom"/>
          </w:tcPr>
          <w:p w:rsidR="00FB1FC8" w:rsidRDefault="00FB1FC8" w:rsidP="00FB1FC8">
            <w:pPr>
              <w:rPr>
                <w:rFonts w:ascii="Calibri" w:hAnsi="Calibri" w:cs="Calibri"/>
                <w:color w:val="000000"/>
                <w:sz w:val="22"/>
                <w:szCs w:val="22"/>
              </w:rPr>
            </w:pPr>
            <w:r>
              <w:rPr>
                <w:rFonts w:ascii="Calibri" w:hAnsi="Calibri" w:cs="Calibri"/>
                <w:color w:val="000000"/>
                <w:sz w:val="22"/>
                <w:szCs w:val="22"/>
              </w:rPr>
              <w:t>Purpose</w:t>
            </w:r>
          </w:p>
        </w:tc>
        <w:tc>
          <w:tcPr>
            <w:tcW w:w="3420" w:type="dxa"/>
            <w:vAlign w:val="bottom"/>
          </w:tcPr>
          <w:p w:rsidR="00FB1FC8" w:rsidRDefault="00FB1FC8" w:rsidP="00FB1FC8">
            <w:pPr>
              <w:rPr>
                <w:rFonts w:ascii="Calibri" w:hAnsi="Calibri" w:cs="Calibri"/>
                <w:color w:val="000000"/>
                <w:sz w:val="22"/>
                <w:szCs w:val="22"/>
              </w:rPr>
            </w:pPr>
            <w:r>
              <w:rPr>
                <w:rFonts w:ascii="Calibri" w:hAnsi="Calibri" w:cs="Calibri"/>
                <w:color w:val="000000"/>
                <w:sz w:val="22"/>
                <w:szCs w:val="22"/>
              </w:rPr>
              <w:t>API authorization</w:t>
            </w:r>
          </w:p>
        </w:tc>
        <w:tc>
          <w:tcPr>
            <w:tcW w:w="4723" w:type="dxa"/>
            <w:vAlign w:val="bottom"/>
          </w:tcPr>
          <w:p w:rsidR="00FB1FC8" w:rsidRDefault="00FB1FC8" w:rsidP="00FB1FC8">
            <w:pPr>
              <w:rPr>
                <w:rFonts w:ascii="Calibri" w:hAnsi="Calibri" w:cs="Calibri"/>
                <w:color w:val="000000"/>
                <w:sz w:val="22"/>
                <w:szCs w:val="22"/>
              </w:rPr>
            </w:pPr>
            <w:r>
              <w:rPr>
                <w:rFonts w:ascii="Calibri" w:hAnsi="Calibri" w:cs="Calibri"/>
                <w:color w:val="000000"/>
                <w:sz w:val="22"/>
                <w:szCs w:val="22"/>
              </w:rPr>
              <w:t>User authentication + API authorization</w:t>
            </w:r>
          </w:p>
        </w:tc>
      </w:tr>
      <w:tr w:rsidR="00FB1FC8" w:rsidTr="00FB1FC8">
        <w:trPr>
          <w:trHeight w:val="333"/>
        </w:trPr>
        <w:tc>
          <w:tcPr>
            <w:tcW w:w="2335" w:type="dxa"/>
            <w:vAlign w:val="bottom"/>
          </w:tcPr>
          <w:p w:rsidR="00FB1FC8" w:rsidRDefault="00FB1FC8" w:rsidP="00FB1FC8">
            <w:pPr>
              <w:rPr>
                <w:rFonts w:ascii="Calibri" w:hAnsi="Calibri" w:cs="Calibri"/>
                <w:color w:val="000000"/>
                <w:sz w:val="22"/>
                <w:szCs w:val="22"/>
              </w:rPr>
            </w:pPr>
            <w:r>
              <w:rPr>
                <w:rFonts w:ascii="Calibri" w:hAnsi="Calibri" w:cs="Calibri"/>
                <w:color w:val="000000"/>
                <w:sz w:val="22"/>
                <w:szCs w:val="22"/>
              </w:rPr>
              <w:t>Required Scope</w:t>
            </w:r>
          </w:p>
        </w:tc>
        <w:tc>
          <w:tcPr>
            <w:tcW w:w="3420" w:type="dxa"/>
            <w:vAlign w:val="bottom"/>
          </w:tcPr>
          <w:p w:rsidR="00FB1FC8" w:rsidRDefault="00FB1FC8" w:rsidP="00FB1FC8">
            <w:pPr>
              <w:rPr>
                <w:rFonts w:ascii="Calibri" w:hAnsi="Calibri" w:cs="Calibri"/>
                <w:color w:val="000000"/>
                <w:sz w:val="22"/>
                <w:szCs w:val="22"/>
              </w:rPr>
            </w:pPr>
            <w:r>
              <w:rPr>
                <w:rFonts w:ascii="Calibri" w:hAnsi="Calibri" w:cs="Calibri"/>
                <w:color w:val="000000"/>
                <w:sz w:val="22"/>
                <w:szCs w:val="22"/>
              </w:rPr>
              <w:t>Defined per API</w:t>
            </w:r>
          </w:p>
        </w:tc>
        <w:tc>
          <w:tcPr>
            <w:tcW w:w="4723" w:type="dxa"/>
            <w:vAlign w:val="bottom"/>
          </w:tcPr>
          <w:p w:rsidR="00FB1FC8" w:rsidRDefault="00FB1FC8" w:rsidP="00FB1FC8">
            <w:pPr>
              <w:rPr>
                <w:rFonts w:ascii="Calibri" w:hAnsi="Calibri" w:cs="Calibri"/>
                <w:color w:val="000000"/>
                <w:sz w:val="22"/>
                <w:szCs w:val="22"/>
              </w:rPr>
            </w:pPr>
            <w:r>
              <w:rPr>
                <w:rFonts w:ascii="Calibri" w:hAnsi="Calibri" w:cs="Calibri"/>
                <w:color w:val="000000"/>
                <w:sz w:val="22"/>
                <w:szCs w:val="22"/>
              </w:rPr>
              <w:t>OpenID (plus profile, email, etc.)</w:t>
            </w:r>
          </w:p>
        </w:tc>
      </w:tr>
      <w:tr w:rsidR="00FB1FC8" w:rsidTr="00FB1FC8">
        <w:trPr>
          <w:trHeight w:val="333"/>
        </w:trPr>
        <w:tc>
          <w:tcPr>
            <w:tcW w:w="2335" w:type="dxa"/>
            <w:vAlign w:val="bottom"/>
          </w:tcPr>
          <w:p w:rsidR="00FB1FC8" w:rsidRDefault="00FB1FC8" w:rsidP="00FB1FC8">
            <w:pPr>
              <w:rPr>
                <w:rFonts w:ascii="Calibri" w:hAnsi="Calibri" w:cs="Calibri"/>
                <w:color w:val="000000"/>
                <w:sz w:val="22"/>
                <w:szCs w:val="22"/>
              </w:rPr>
            </w:pPr>
            <w:r>
              <w:rPr>
                <w:rFonts w:ascii="Calibri" w:hAnsi="Calibri" w:cs="Calibri"/>
                <w:color w:val="000000"/>
                <w:sz w:val="22"/>
                <w:szCs w:val="22"/>
              </w:rPr>
              <w:t>Client Registration</w:t>
            </w:r>
          </w:p>
        </w:tc>
        <w:tc>
          <w:tcPr>
            <w:tcW w:w="3420" w:type="dxa"/>
            <w:vAlign w:val="bottom"/>
          </w:tcPr>
          <w:p w:rsidR="00FB1FC8" w:rsidRDefault="00FB1FC8" w:rsidP="00FB1FC8">
            <w:pPr>
              <w:rPr>
                <w:rFonts w:ascii="Calibri" w:hAnsi="Calibri" w:cs="Calibri"/>
                <w:color w:val="000000"/>
                <w:sz w:val="22"/>
                <w:szCs w:val="22"/>
              </w:rPr>
            </w:pPr>
            <w:r>
              <w:rPr>
                <w:rFonts w:ascii="Calibri" w:hAnsi="Calibri" w:cs="Calibri"/>
                <w:color w:val="000000"/>
                <w:sz w:val="22"/>
                <w:szCs w:val="22"/>
              </w:rPr>
              <w:t>Yes</w:t>
            </w:r>
          </w:p>
        </w:tc>
        <w:tc>
          <w:tcPr>
            <w:tcW w:w="4723" w:type="dxa"/>
            <w:vAlign w:val="bottom"/>
          </w:tcPr>
          <w:p w:rsidR="00FB1FC8" w:rsidRDefault="00FB1FC8" w:rsidP="00FB1FC8">
            <w:pPr>
              <w:rPr>
                <w:rFonts w:ascii="Calibri" w:hAnsi="Calibri" w:cs="Calibri"/>
                <w:color w:val="000000"/>
                <w:sz w:val="22"/>
                <w:szCs w:val="22"/>
              </w:rPr>
            </w:pPr>
            <w:r>
              <w:rPr>
                <w:rFonts w:ascii="Calibri" w:hAnsi="Calibri" w:cs="Calibri"/>
                <w:color w:val="000000"/>
                <w:sz w:val="22"/>
                <w:szCs w:val="22"/>
              </w:rPr>
              <w:t>Yes</w:t>
            </w:r>
          </w:p>
        </w:tc>
      </w:tr>
      <w:tr w:rsidR="00FB1FC8" w:rsidTr="00FB1FC8">
        <w:trPr>
          <w:trHeight w:val="345"/>
        </w:trPr>
        <w:tc>
          <w:tcPr>
            <w:tcW w:w="2335" w:type="dxa"/>
            <w:vAlign w:val="bottom"/>
          </w:tcPr>
          <w:p w:rsidR="00FB1FC8" w:rsidRDefault="00FB1FC8" w:rsidP="00FB1FC8">
            <w:pPr>
              <w:rPr>
                <w:rFonts w:ascii="Calibri" w:hAnsi="Calibri" w:cs="Calibri"/>
                <w:color w:val="000000"/>
                <w:sz w:val="22"/>
                <w:szCs w:val="22"/>
              </w:rPr>
            </w:pPr>
            <w:r>
              <w:rPr>
                <w:rFonts w:ascii="Calibri" w:hAnsi="Calibri" w:cs="Calibri"/>
                <w:color w:val="000000"/>
                <w:sz w:val="22"/>
                <w:szCs w:val="22"/>
              </w:rPr>
              <w:t>User Info Endpoint</w:t>
            </w:r>
          </w:p>
        </w:tc>
        <w:tc>
          <w:tcPr>
            <w:tcW w:w="3420" w:type="dxa"/>
            <w:vAlign w:val="bottom"/>
          </w:tcPr>
          <w:p w:rsidR="00FB1FC8" w:rsidRDefault="00FB1FC8" w:rsidP="00FB1FC8">
            <w:pPr>
              <w:rPr>
                <w:rFonts w:ascii="Calibri" w:hAnsi="Calibri" w:cs="Calibri"/>
                <w:color w:val="000000"/>
                <w:sz w:val="22"/>
                <w:szCs w:val="22"/>
              </w:rPr>
            </w:pPr>
            <w:r>
              <w:rPr>
                <w:rFonts w:ascii="Calibri" w:hAnsi="Calibri" w:cs="Calibri"/>
                <w:color w:val="000000"/>
                <w:sz w:val="22"/>
                <w:szCs w:val="22"/>
              </w:rPr>
              <w:t>Optional</w:t>
            </w:r>
          </w:p>
        </w:tc>
        <w:tc>
          <w:tcPr>
            <w:tcW w:w="4723" w:type="dxa"/>
            <w:vAlign w:val="bottom"/>
          </w:tcPr>
          <w:p w:rsidR="00FB1FC8" w:rsidRDefault="00FB1FC8" w:rsidP="00FB1FC8">
            <w:pPr>
              <w:rPr>
                <w:rFonts w:ascii="Calibri" w:hAnsi="Calibri" w:cs="Calibri"/>
                <w:color w:val="000000"/>
                <w:sz w:val="22"/>
                <w:szCs w:val="22"/>
              </w:rPr>
            </w:pPr>
            <w:r>
              <w:rPr>
                <w:rFonts w:ascii="Calibri" w:hAnsi="Calibri" w:cs="Calibri"/>
                <w:color w:val="000000"/>
                <w:sz w:val="22"/>
                <w:szCs w:val="22"/>
              </w:rPr>
              <w:t>Standardized in OIDC</w:t>
            </w:r>
          </w:p>
        </w:tc>
      </w:tr>
    </w:tbl>
    <w:p w:rsidR="00412F92" w:rsidRDefault="000E796B" w:rsidP="00FB1FC8">
      <w:r>
        <w:rPr>
          <w:noProof/>
        </w:rPr>
        <w:drawing>
          <wp:inline distT="0" distB="0" distL="0" distR="0">
            <wp:extent cx="5943600" cy="2552700"/>
            <wp:effectExtent l="0" t="0" r="0" b="0"/>
            <wp:docPr id="173929629" name="Picture 1" descr="OAut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Auth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52700"/>
                    </a:xfrm>
                    <a:prstGeom prst="rect">
                      <a:avLst/>
                    </a:prstGeom>
                    <a:noFill/>
                    <a:ln>
                      <a:noFill/>
                    </a:ln>
                  </pic:spPr>
                </pic:pic>
              </a:graphicData>
            </a:graphic>
          </wp:inline>
        </w:drawing>
      </w:r>
    </w:p>
    <w:p w:rsidR="00412F92" w:rsidRDefault="00412F92">
      <w:r>
        <w:br w:type="page"/>
      </w:r>
    </w:p>
    <w:p w:rsidR="00FB1FC8" w:rsidRDefault="00412F92" w:rsidP="00FB1FC8">
      <w:r>
        <w:rPr>
          <w:noProof/>
        </w:rPr>
        <w:lastRenderedPageBreak/>
        <w:drawing>
          <wp:inline distT="0" distB="0" distL="0" distR="0">
            <wp:extent cx="5905500" cy="3429000"/>
            <wp:effectExtent l="0" t="0" r="0" b="0"/>
            <wp:docPr id="1148917833" name="Picture 2" descr="Implicit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plicit sign-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3429000"/>
                    </a:xfrm>
                    <a:prstGeom prst="rect">
                      <a:avLst/>
                    </a:prstGeom>
                    <a:noFill/>
                    <a:ln>
                      <a:noFill/>
                    </a:ln>
                  </pic:spPr>
                </pic:pic>
              </a:graphicData>
            </a:graphic>
          </wp:inline>
        </w:drawing>
      </w:r>
    </w:p>
    <w:p w:rsidR="00412F92" w:rsidRDefault="00412F92" w:rsidP="00FB1FC8">
      <w:r>
        <w:rPr>
          <w:noProof/>
        </w:rPr>
        <w:drawing>
          <wp:inline distT="0" distB="0" distL="0" distR="0">
            <wp:extent cx="5867400" cy="3448050"/>
            <wp:effectExtent l="0" t="0" r="0" b="0"/>
            <wp:docPr id="1936656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7400" cy="3448050"/>
                    </a:xfrm>
                    <a:prstGeom prst="rect">
                      <a:avLst/>
                    </a:prstGeom>
                    <a:noFill/>
                    <a:ln>
                      <a:noFill/>
                    </a:ln>
                  </pic:spPr>
                </pic:pic>
              </a:graphicData>
            </a:graphic>
          </wp:inline>
        </w:drawing>
      </w:r>
    </w:p>
    <w:p w:rsidR="00412F92" w:rsidRDefault="00412F92" w:rsidP="00FB1FC8"/>
    <w:p w:rsidR="00412F92" w:rsidRDefault="00412F92" w:rsidP="00FB1FC8"/>
    <w:p w:rsidR="00412F92" w:rsidRDefault="00412F92">
      <w:r>
        <w:br w:type="page"/>
      </w:r>
    </w:p>
    <w:p w:rsidR="00412F92" w:rsidRDefault="00412F92" w:rsidP="00FB1FC8">
      <w:r>
        <w:rPr>
          <w:noProof/>
        </w:rPr>
        <w:lastRenderedPageBreak/>
        <w:drawing>
          <wp:inline distT="0" distB="0" distL="0" distR="0">
            <wp:extent cx="5943600" cy="3540760"/>
            <wp:effectExtent l="0" t="0" r="0" b="2540"/>
            <wp:docPr id="226876475" name="Picture 4" descr="Diagram of the PKCE relationship between the client and AD FS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agram of the PKCE relationship between the client and AD FS 20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40760"/>
                    </a:xfrm>
                    <a:prstGeom prst="rect">
                      <a:avLst/>
                    </a:prstGeom>
                    <a:noFill/>
                    <a:ln>
                      <a:noFill/>
                    </a:ln>
                  </pic:spPr>
                </pic:pic>
              </a:graphicData>
            </a:graphic>
          </wp:inline>
        </w:drawing>
      </w:r>
    </w:p>
    <w:p w:rsidR="003256D0" w:rsidRDefault="003256D0" w:rsidP="00FB1FC8">
      <w:r>
        <w:rPr>
          <w:noProof/>
        </w:rPr>
        <w:drawing>
          <wp:inline distT="0" distB="0" distL="0" distR="0">
            <wp:extent cx="5905500" cy="3009900"/>
            <wp:effectExtent l="0" t="0" r="0" b="0"/>
            <wp:docPr id="661955177" name="Picture 5" descr="On-Behalf-Of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n-Behalf-Of flo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500" cy="3009900"/>
                    </a:xfrm>
                    <a:prstGeom prst="rect">
                      <a:avLst/>
                    </a:prstGeom>
                    <a:noFill/>
                    <a:ln>
                      <a:noFill/>
                    </a:ln>
                  </pic:spPr>
                </pic:pic>
              </a:graphicData>
            </a:graphic>
          </wp:inline>
        </w:drawing>
      </w:r>
    </w:p>
    <w:p w:rsidR="003256D0" w:rsidRDefault="003256D0">
      <w:r>
        <w:br w:type="page"/>
      </w:r>
    </w:p>
    <w:p w:rsidR="00412F92" w:rsidRDefault="003256D0" w:rsidP="00FB1FC8">
      <w:r>
        <w:rPr>
          <w:noProof/>
        </w:rPr>
        <w:lastRenderedPageBreak/>
        <w:drawing>
          <wp:inline distT="0" distB="0" distL="0" distR="0">
            <wp:extent cx="4953000" cy="1676400"/>
            <wp:effectExtent l="0" t="0" r="0" b="0"/>
            <wp:docPr id="1420131878" name="Picture 6" descr="Client 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lient credentia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3000" cy="1676400"/>
                    </a:xfrm>
                    <a:prstGeom prst="rect">
                      <a:avLst/>
                    </a:prstGeom>
                    <a:noFill/>
                    <a:ln>
                      <a:noFill/>
                    </a:ln>
                  </pic:spPr>
                </pic:pic>
              </a:graphicData>
            </a:graphic>
          </wp:inline>
        </w:drawing>
      </w:r>
    </w:p>
    <w:p w:rsidR="003256D0" w:rsidRDefault="003256D0" w:rsidP="00FB1FC8">
      <w:r>
        <w:rPr>
          <w:noProof/>
        </w:rPr>
        <w:drawing>
          <wp:inline distT="0" distB="0" distL="0" distR="0">
            <wp:extent cx="5905500" cy="2228850"/>
            <wp:effectExtent l="0" t="0" r="0" b="0"/>
            <wp:docPr id="460228028" name="Picture 7" descr="ROP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OPC flo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5500" cy="2228850"/>
                    </a:xfrm>
                    <a:prstGeom prst="rect">
                      <a:avLst/>
                    </a:prstGeom>
                    <a:noFill/>
                    <a:ln>
                      <a:noFill/>
                    </a:ln>
                  </pic:spPr>
                </pic:pic>
              </a:graphicData>
            </a:graphic>
          </wp:inline>
        </w:drawing>
      </w:r>
    </w:p>
    <w:p w:rsidR="003256D0" w:rsidRDefault="003256D0" w:rsidP="00FB1FC8">
      <w:r>
        <w:rPr>
          <w:noProof/>
        </w:rPr>
        <w:drawing>
          <wp:inline distT="0" distB="0" distL="0" distR="0">
            <wp:extent cx="5905500" cy="2476500"/>
            <wp:effectExtent l="0" t="0" r="0" b="0"/>
            <wp:docPr id="506126545" name="Picture 8" descr="Device 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vice code flo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5500" cy="2476500"/>
                    </a:xfrm>
                    <a:prstGeom prst="rect">
                      <a:avLst/>
                    </a:prstGeom>
                    <a:noFill/>
                    <a:ln>
                      <a:noFill/>
                    </a:ln>
                  </pic:spPr>
                </pic:pic>
              </a:graphicData>
            </a:graphic>
          </wp:inline>
        </w:drawing>
      </w:r>
    </w:p>
    <w:p w:rsidR="003256D0" w:rsidRDefault="003256D0" w:rsidP="00FB1FC8"/>
    <w:p w:rsidR="003256D0" w:rsidRDefault="003256D0" w:rsidP="00FB1FC8">
      <w:r>
        <w:t xml:space="preserve">Ref: </w:t>
      </w:r>
      <w:r w:rsidRPr="003256D0">
        <w:t>https://learn.microsoft.com/en-us/windows-server/identity/ad-fs/overview/ad-fs-openid-connect-oauth-flows-scenarios</w:t>
      </w:r>
    </w:p>
    <w:sectPr w:rsidR="00325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kGrotesk Fallback">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20FD2"/>
    <w:multiLevelType w:val="multilevel"/>
    <w:tmpl w:val="4268FB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854801"/>
    <w:multiLevelType w:val="multilevel"/>
    <w:tmpl w:val="33EC3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5D1E35"/>
    <w:multiLevelType w:val="multilevel"/>
    <w:tmpl w:val="F6CA4F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4590115">
    <w:abstractNumId w:val="0"/>
  </w:num>
  <w:num w:numId="2" w16cid:durableId="92629085">
    <w:abstractNumId w:val="1"/>
  </w:num>
  <w:num w:numId="3" w16cid:durableId="515392049">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1474521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91A"/>
    <w:rsid w:val="000C791A"/>
    <w:rsid w:val="000E796B"/>
    <w:rsid w:val="000F1F7E"/>
    <w:rsid w:val="003256D0"/>
    <w:rsid w:val="003C6AEC"/>
    <w:rsid w:val="00412F92"/>
    <w:rsid w:val="00436D8C"/>
    <w:rsid w:val="004D561A"/>
    <w:rsid w:val="00C30A28"/>
    <w:rsid w:val="00FB1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A8465"/>
  <w15:chartTrackingRefBased/>
  <w15:docId w15:val="{BB0BE67E-ADB7-4AB4-AB66-D72883236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9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79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9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9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9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9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79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9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9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9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91A"/>
    <w:rPr>
      <w:rFonts w:eastAsiaTheme="majorEastAsia" w:cstheme="majorBidi"/>
      <w:color w:val="272727" w:themeColor="text1" w:themeTint="D8"/>
    </w:rPr>
  </w:style>
  <w:style w:type="paragraph" w:styleId="Title">
    <w:name w:val="Title"/>
    <w:basedOn w:val="Normal"/>
    <w:next w:val="Normal"/>
    <w:link w:val="TitleChar"/>
    <w:uiPriority w:val="10"/>
    <w:qFormat/>
    <w:rsid w:val="000C7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91A"/>
    <w:pPr>
      <w:spacing w:before="160"/>
      <w:jc w:val="center"/>
    </w:pPr>
    <w:rPr>
      <w:i/>
      <w:iCs/>
      <w:color w:val="404040" w:themeColor="text1" w:themeTint="BF"/>
    </w:rPr>
  </w:style>
  <w:style w:type="character" w:customStyle="1" w:styleId="QuoteChar">
    <w:name w:val="Quote Char"/>
    <w:basedOn w:val="DefaultParagraphFont"/>
    <w:link w:val="Quote"/>
    <w:uiPriority w:val="29"/>
    <w:rsid w:val="000C791A"/>
    <w:rPr>
      <w:i/>
      <w:iCs/>
      <w:color w:val="404040" w:themeColor="text1" w:themeTint="BF"/>
    </w:rPr>
  </w:style>
  <w:style w:type="paragraph" w:styleId="ListParagraph">
    <w:name w:val="List Paragraph"/>
    <w:basedOn w:val="Normal"/>
    <w:uiPriority w:val="34"/>
    <w:qFormat/>
    <w:rsid w:val="000C791A"/>
    <w:pPr>
      <w:ind w:left="720"/>
      <w:contextualSpacing/>
    </w:pPr>
  </w:style>
  <w:style w:type="character" w:styleId="IntenseEmphasis">
    <w:name w:val="Intense Emphasis"/>
    <w:basedOn w:val="DefaultParagraphFont"/>
    <w:uiPriority w:val="21"/>
    <w:qFormat/>
    <w:rsid w:val="000C791A"/>
    <w:rPr>
      <w:i/>
      <w:iCs/>
      <w:color w:val="2F5496" w:themeColor="accent1" w:themeShade="BF"/>
    </w:rPr>
  </w:style>
  <w:style w:type="paragraph" w:styleId="IntenseQuote">
    <w:name w:val="Intense Quote"/>
    <w:basedOn w:val="Normal"/>
    <w:next w:val="Normal"/>
    <w:link w:val="IntenseQuoteChar"/>
    <w:uiPriority w:val="30"/>
    <w:qFormat/>
    <w:rsid w:val="000C79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91A"/>
    <w:rPr>
      <w:i/>
      <w:iCs/>
      <w:color w:val="2F5496" w:themeColor="accent1" w:themeShade="BF"/>
    </w:rPr>
  </w:style>
  <w:style w:type="character" w:styleId="IntenseReference">
    <w:name w:val="Intense Reference"/>
    <w:basedOn w:val="DefaultParagraphFont"/>
    <w:uiPriority w:val="32"/>
    <w:qFormat/>
    <w:rsid w:val="000C791A"/>
    <w:rPr>
      <w:b/>
      <w:bCs/>
      <w:smallCaps/>
      <w:color w:val="2F5496" w:themeColor="accent1" w:themeShade="BF"/>
      <w:spacing w:val="5"/>
    </w:rPr>
  </w:style>
  <w:style w:type="table" w:styleId="TableGrid">
    <w:name w:val="Table Grid"/>
    <w:basedOn w:val="TableNormal"/>
    <w:uiPriority w:val="39"/>
    <w:rsid w:val="000C7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1FC8"/>
    <w:rPr>
      <w:color w:val="0563C1" w:themeColor="hyperlink"/>
      <w:u w:val="single"/>
    </w:rPr>
  </w:style>
  <w:style w:type="character" w:styleId="UnresolvedMention">
    <w:name w:val="Unresolved Mention"/>
    <w:basedOn w:val="DefaultParagraphFont"/>
    <w:uiPriority w:val="99"/>
    <w:semiHidden/>
    <w:unhideWhenUsed/>
    <w:rsid w:val="00FB1FC8"/>
    <w:rPr>
      <w:color w:val="605E5C"/>
      <w:shd w:val="clear" w:color="auto" w:fill="E1DFDD"/>
    </w:rPr>
  </w:style>
  <w:style w:type="paragraph" w:customStyle="1" w:styleId="my-0">
    <w:name w:val="my-0"/>
    <w:basedOn w:val="Normal"/>
    <w:rsid w:val="00FB1F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1FC8"/>
    <w:rPr>
      <w:b/>
      <w:bCs/>
    </w:rPr>
  </w:style>
  <w:style w:type="character" w:customStyle="1" w:styleId="hoverbg-super">
    <w:name w:val="hover:bg-super"/>
    <w:basedOn w:val="DefaultParagraphFont"/>
    <w:rsid w:val="00FB1FC8"/>
  </w:style>
  <w:style w:type="character" w:customStyle="1" w:styleId="whitespace-nowrap">
    <w:name w:val="whitespace-nowrap"/>
    <w:basedOn w:val="DefaultParagraphFont"/>
    <w:rsid w:val="00FB1F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56421">
      <w:bodyDiv w:val="1"/>
      <w:marLeft w:val="0"/>
      <w:marRight w:val="0"/>
      <w:marTop w:val="0"/>
      <w:marBottom w:val="0"/>
      <w:divBdr>
        <w:top w:val="none" w:sz="0" w:space="0" w:color="auto"/>
        <w:left w:val="none" w:sz="0" w:space="0" w:color="auto"/>
        <w:bottom w:val="none" w:sz="0" w:space="0" w:color="auto"/>
        <w:right w:val="none" w:sz="0" w:space="0" w:color="auto"/>
      </w:divBdr>
    </w:div>
    <w:div w:id="384719148">
      <w:bodyDiv w:val="1"/>
      <w:marLeft w:val="0"/>
      <w:marRight w:val="0"/>
      <w:marTop w:val="0"/>
      <w:marBottom w:val="0"/>
      <w:divBdr>
        <w:top w:val="none" w:sz="0" w:space="0" w:color="auto"/>
        <w:left w:val="none" w:sz="0" w:space="0" w:color="auto"/>
        <w:bottom w:val="none" w:sz="0" w:space="0" w:color="auto"/>
        <w:right w:val="none" w:sz="0" w:space="0" w:color="auto"/>
      </w:divBdr>
    </w:div>
    <w:div w:id="414325993">
      <w:bodyDiv w:val="1"/>
      <w:marLeft w:val="0"/>
      <w:marRight w:val="0"/>
      <w:marTop w:val="0"/>
      <w:marBottom w:val="0"/>
      <w:divBdr>
        <w:top w:val="none" w:sz="0" w:space="0" w:color="auto"/>
        <w:left w:val="none" w:sz="0" w:space="0" w:color="auto"/>
        <w:bottom w:val="none" w:sz="0" w:space="0" w:color="auto"/>
        <w:right w:val="none" w:sz="0" w:space="0" w:color="auto"/>
      </w:divBdr>
    </w:div>
    <w:div w:id="734282172">
      <w:bodyDiv w:val="1"/>
      <w:marLeft w:val="0"/>
      <w:marRight w:val="0"/>
      <w:marTop w:val="0"/>
      <w:marBottom w:val="0"/>
      <w:divBdr>
        <w:top w:val="none" w:sz="0" w:space="0" w:color="auto"/>
        <w:left w:val="none" w:sz="0" w:space="0" w:color="auto"/>
        <w:bottom w:val="none" w:sz="0" w:space="0" w:color="auto"/>
        <w:right w:val="none" w:sz="0" w:space="0" w:color="auto"/>
      </w:divBdr>
    </w:div>
    <w:div w:id="735594282">
      <w:bodyDiv w:val="1"/>
      <w:marLeft w:val="0"/>
      <w:marRight w:val="0"/>
      <w:marTop w:val="0"/>
      <w:marBottom w:val="0"/>
      <w:divBdr>
        <w:top w:val="none" w:sz="0" w:space="0" w:color="auto"/>
        <w:left w:val="none" w:sz="0" w:space="0" w:color="auto"/>
        <w:bottom w:val="none" w:sz="0" w:space="0" w:color="auto"/>
        <w:right w:val="none" w:sz="0" w:space="0" w:color="auto"/>
      </w:divBdr>
    </w:div>
    <w:div w:id="1063061991">
      <w:bodyDiv w:val="1"/>
      <w:marLeft w:val="0"/>
      <w:marRight w:val="0"/>
      <w:marTop w:val="0"/>
      <w:marBottom w:val="0"/>
      <w:divBdr>
        <w:top w:val="none" w:sz="0" w:space="0" w:color="auto"/>
        <w:left w:val="none" w:sz="0" w:space="0" w:color="auto"/>
        <w:bottom w:val="none" w:sz="0" w:space="0" w:color="auto"/>
        <w:right w:val="none" w:sz="0" w:space="0" w:color="auto"/>
      </w:divBdr>
    </w:div>
    <w:div w:id="1201673059">
      <w:bodyDiv w:val="1"/>
      <w:marLeft w:val="0"/>
      <w:marRight w:val="0"/>
      <w:marTop w:val="0"/>
      <w:marBottom w:val="0"/>
      <w:divBdr>
        <w:top w:val="none" w:sz="0" w:space="0" w:color="auto"/>
        <w:left w:val="none" w:sz="0" w:space="0" w:color="auto"/>
        <w:bottom w:val="none" w:sz="0" w:space="0" w:color="auto"/>
        <w:right w:val="none" w:sz="0" w:space="0" w:color="auto"/>
      </w:divBdr>
    </w:div>
    <w:div w:id="1673988646">
      <w:bodyDiv w:val="1"/>
      <w:marLeft w:val="0"/>
      <w:marRight w:val="0"/>
      <w:marTop w:val="0"/>
      <w:marBottom w:val="0"/>
      <w:divBdr>
        <w:top w:val="none" w:sz="0" w:space="0" w:color="auto"/>
        <w:left w:val="none" w:sz="0" w:space="0" w:color="auto"/>
        <w:bottom w:val="none" w:sz="0" w:space="0" w:color="auto"/>
        <w:right w:val="none" w:sz="0" w:space="0" w:color="auto"/>
      </w:divBdr>
    </w:div>
    <w:div w:id="1753702721">
      <w:bodyDiv w:val="1"/>
      <w:marLeft w:val="0"/>
      <w:marRight w:val="0"/>
      <w:marTop w:val="0"/>
      <w:marBottom w:val="0"/>
      <w:divBdr>
        <w:top w:val="none" w:sz="0" w:space="0" w:color="auto"/>
        <w:left w:val="none" w:sz="0" w:space="0" w:color="auto"/>
        <w:bottom w:val="none" w:sz="0" w:space="0" w:color="auto"/>
        <w:right w:val="none" w:sz="0" w:space="0" w:color="auto"/>
      </w:divBdr>
    </w:div>
    <w:div w:id="211940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dzone.com/articles/token-based-security-oauth-20-oidc-and-identityser"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nkedin.com/pulse/identityserver4-authorization-luigi-c-filho-ytw8f" TargetMode="External"/><Relationship Id="rId11" Type="http://schemas.openxmlformats.org/officeDocument/2006/relationships/image" Target="media/image4.png"/><Relationship Id="rId5" Type="http://schemas.openxmlformats.org/officeDocument/2006/relationships/hyperlink" Target="https://digitteck.com/dotnet/identityserver/identity-server4-part1/" TargetMode="Externa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6</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Ariful Islam</dc:creator>
  <cp:keywords/>
  <dc:description/>
  <cp:lastModifiedBy>Ariful Islam</cp:lastModifiedBy>
  <cp:revision>2</cp:revision>
  <dcterms:created xsi:type="dcterms:W3CDTF">2025-06-20T06:49:00Z</dcterms:created>
  <dcterms:modified xsi:type="dcterms:W3CDTF">2025-06-20T12:29:00Z</dcterms:modified>
</cp:coreProperties>
</file>