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df6462edfbca85ab3cdd89adf1b33349dedc10"/>
    <w:p>
      <w:pPr>
        <w:pStyle w:val="Heading1"/>
      </w:pPr>
      <w:r>
        <w:t xml:space="preserve">SALES DRIVERS &amp; CUSTOMER EXPERIENCE INTELLIGENCE REPORT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a comprehensive analysis of the key drivers influencing sales performance, customer demand, promotion effectiveness, pricing perception, and return risk.</w:t>
      </w:r>
    </w:p>
    <w:p>
      <w:pPr>
        <w:pStyle w:val="BodyText"/>
      </w:pPr>
      <w:r>
        <w:t xml:space="preserve">Using integrated demand and customer experience dashboards, the analysis identifies the commercial, operational, and behavioral factors that impact revenue generation and customer satisfaction.</w:t>
      </w:r>
    </w:p>
    <w:p>
      <w:pPr>
        <w:pStyle w:val="BodyText"/>
      </w:pPr>
      <w:r>
        <w:t xml:space="preserve">Key focus areas include:</w:t>
      </w:r>
      <w:r>
        <w:t xml:space="preserve"> </w:t>
      </w:r>
      <w:r>
        <w:t xml:space="preserve">- Promotion intensity and discount effectiveness</w:t>
      </w:r>
      <w:r>
        <w:t xml:space="preserve"> </w:t>
      </w:r>
      <w:r>
        <w:t xml:space="preserve">- Advertising spend efficiency</w:t>
      </w:r>
      <w:r>
        <w:t xml:space="preserve"> </w:t>
      </w:r>
      <w:r>
        <w:t xml:space="preserve">- Pricing competitiveness</w:t>
      </w:r>
      <w:r>
        <w:t xml:space="preserve"> </w:t>
      </w:r>
      <w:r>
        <w:t xml:space="preserve">- Product tier performance</w:t>
      </w:r>
      <w:r>
        <w:t xml:space="preserve"> </w:t>
      </w:r>
      <w:r>
        <w:t xml:space="preserve">- Inventory availability impact</w:t>
      </w:r>
      <w:r>
        <w:t xml:space="preserve"> </w:t>
      </w:r>
      <w:r>
        <w:t xml:space="preserve">- Customer sentiment and return behavior</w:t>
      </w:r>
    </w:p>
    <w:p>
      <w:pPr>
        <w:pStyle w:val="BodyText"/>
      </w:pPr>
      <w:r>
        <w:t xml:space="preserve">The insights generated are designed to support executive decision‑making across Marketing, Sales, Pricing, and Operations.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objectives"/>
    <w:p>
      <w:pPr>
        <w:pStyle w:val="Heading2"/>
      </w:pPr>
      <w:r>
        <w:t xml:space="preserve">2. Business Objectives</w:t>
      </w:r>
    </w:p>
    <w:p>
      <w:pPr>
        <w:pStyle w:val="FirstParagraph"/>
      </w:pPr>
      <w:r>
        <w:t xml:space="preserve">The primary objectives of this analysis were to:</w:t>
      </w:r>
    </w:p>
    <w:p>
      <w:pPr>
        <w:pStyle w:val="Compact"/>
        <w:numPr>
          <w:ilvl w:val="0"/>
          <w:numId w:val="1001"/>
        </w:numPr>
      </w:pPr>
      <w:r>
        <w:t xml:space="preserve">Identify the strongest drivers of customer footfall and sales</w:t>
      </w:r>
    </w:p>
    <w:p>
      <w:pPr>
        <w:pStyle w:val="Compact"/>
        <w:numPr>
          <w:ilvl w:val="0"/>
          <w:numId w:val="1001"/>
        </w:numPr>
      </w:pPr>
      <w:r>
        <w:t xml:space="preserve">Evaluate the effectiveness of promotional campaigns</w:t>
      </w:r>
    </w:p>
    <w:p>
      <w:pPr>
        <w:pStyle w:val="Compact"/>
        <w:numPr>
          <w:ilvl w:val="0"/>
          <w:numId w:val="1001"/>
        </w:numPr>
      </w:pPr>
      <w:r>
        <w:t xml:space="preserve">Assess the relationship between discounting and demand</w:t>
      </w:r>
    </w:p>
    <w:p>
      <w:pPr>
        <w:pStyle w:val="Compact"/>
        <w:numPr>
          <w:ilvl w:val="0"/>
          <w:numId w:val="1001"/>
        </w:numPr>
      </w:pPr>
      <w:r>
        <w:t xml:space="preserve">Measure advertising spend efficiency</w:t>
      </w:r>
    </w:p>
    <w:p>
      <w:pPr>
        <w:pStyle w:val="Compact"/>
        <w:numPr>
          <w:ilvl w:val="0"/>
          <w:numId w:val="1001"/>
        </w:numPr>
      </w:pPr>
      <w:r>
        <w:t xml:space="preserve">Understand pricing impact versus competitors</w:t>
      </w:r>
    </w:p>
    <w:p>
      <w:pPr>
        <w:pStyle w:val="Compact"/>
        <w:numPr>
          <w:ilvl w:val="0"/>
          <w:numId w:val="1001"/>
        </w:numPr>
      </w:pPr>
      <w:r>
        <w:t xml:space="preserve">Analyze customer sentiment trends</w:t>
      </w:r>
    </w:p>
    <w:p>
      <w:pPr>
        <w:pStyle w:val="Compact"/>
        <w:numPr>
          <w:ilvl w:val="0"/>
          <w:numId w:val="1001"/>
        </w:numPr>
      </w:pPr>
      <w:r>
        <w:t xml:space="preserve">Identify drivers of product return rates</w:t>
      </w:r>
    </w:p>
    <w:p>
      <w:pPr>
        <w:pStyle w:val="Compact"/>
        <w:numPr>
          <w:ilvl w:val="0"/>
          <w:numId w:val="1001"/>
        </w:numPr>
      </w:pPr>
      <w:r>
        <w:t xml:space="preserve">Provide strategic recommendations to improve profitability</w:t>
      </w:r>
    </w:p>
    <w:p>
      <w:r>
        <w:pict>
          <v:rect style="width:0;height:1.5pt" o:hralign="center" o:hrstd="t" o:hr="t"/>
        </w:pict>
      </w:r>
    </w:p>
    <w:bookmarkEnd w:id="21"/>
    <w:bookmarkStart w:id="24" w:name="data-methodology"/>
    <w:p>
      <w:pPr>
        <w:pStyle w:val="Heading2"/>
      </w:pPr>
      <w:r>
        <w:t xml:space="preserve">3. Data &amp; Methodology</w:t>
      </w:r>
    </w:p>
    <w:bookmarkStart w:id="22" w:name="data-sources"/>
    <w:p>
      <w:pPr>
        <w:pStyle w:val="Heading3"/>
      </w:pPr>
      <w:r>
        <w:t xml:space="preserve">3.1 Data Sources</w:t>
      </w:r>
    </w:p>
    <w:p>
      <w:pPr>
        <w:pStyle w:val="FirstParagraph"/>
      </w:pPr>
      <w:r>
        <w:t xml:space="preserve">The analysis was conducted using integrated commercial datasets containing:</w:t>
      </w:r>
    </w:p>
    <w:p>
      <w:pPr>
        <w:pStyle w:val="Compact"/>
        <w:numPr>
          <w:ilvl w:val="0"/>
          <w:numId w:val="1002"/>
        </w:numPr>
      </w:pPr>
      <w:r>
        <w:t xml:space="preserve">Promotion intensity levels</w:t>
      </w:r>
    </w:p>
    <w:p>
      <w:pPr>
        <w:pStyle w:val="Compact"/>
        <w:numPr>
          <w:ilvl w:val="0"/>
          <w:numId w:val="1002"/>
        </w:numPr>
      </w:pPr>
      <w:r>
        <w:t xml:space="preserve">Discount structures</w:t>
      </w:r>
    </w:p>
    <w:p>
      <w:pPr>
        <w:pStyle w:val="Compact"/>
        <w:numPr>
          <w:ilvl w:val="0"/>
          <w:numId w:val="1002"/>
        </w:numPr>
      </w:pPr>
      <w:r>
        <w:t xml:space="preserve">Advertising spend</w:t>
      </w:r>
    </w:p>
    <w:p>
      <w:pPr>
        <w:pStyle w:val="Compact"/>
        <w:numPr>
          <w:ilvl w:val="0"/>
          <w:numId w:val="1002"/>
        </w:numPr>
      </w:pPr>
      <w:r>
        <w:t xml:space="preserve">Customer footfall metrics</w:t>
      </w:r>
    </w:p>
    <w:p>
      <w:pPr>
        <w:pStyle w:val="Compact"/>
        <w:numPr>
          <w:ilvl w:val="0"/>
          <w:numId w:val="1002"/>
        </w:numPr>
      </w:pPr>
      <w:r>
        <w:t xml:space="preserve">Product tier classifications</w:t>
      </w:r>
    </w:p>
    <w:p>
      <w:pPr>
        <w:pStyle w:val="Compact"/>
        <w:numPr>
          <w:ilvl w:val="0"/>
          <w:numId w:val="1002"/>
        </w:numPr>
      </w:pPr>
      <w:r>
        <w:t xml:space="preserve">Inventory levels</w:t>
      </w:r>
    </w:p>
    <w:p>
      <w:pPr>
        <w:pStyle w:val="Compact"/>
        <w:numPr>
          <w:ilvl w:val="0"/>
          <w:numId w:val="1002"/>
        </w:numPr>
      </w:pPr>
      <w:r>
        <w:t xml:space="preserve">Pricing gaps vs competitors</w:t>
      </w:r>
    </w:p>
    <w:p>
      <w:pPr>
        <w:pStyle w:val="Compact"/>
        <w:numPr>
          <w:ilvl w:val="0"/>
          <w:numId w:val="1002"/>
        </w:numPr>
      </w:pPr>
      <w:r>
        <w:t xml:space="preserve">Customer sentiment scores</w:t>
      </w:r>
    </w:p>
    <w:p>
      <w:pPr>
        <w:pStyle w:val="Compact"/>
        <w:numPr>
          <w:ilvl w:val="0"/>
          <w:numId w:val="1002"/>
        </w:numPr>
      </w:pPr>
      <w:r>
        <w:t xml:space="preserve">Product return rates</w:t>
      </w:r>
    </w:p>
    <w:bookmarkEnd w:id="22"/>
    <w:bookmarkStart w:id="23" w:name="analytical-approach"/>
    <w:p>
      <w:pPr>
        <w:pStyle w:val="Heading3"/>
      </w:pPr>
      <w:r>
        <w:t xml:space="preserve">3.2 Analytical Approach</w:t>
      </w:r>
    </w:p>
    <w:p>
      <w:pPr>
        <w:pStyle w:val="FirstParagraph"/>
      </w:pPr>
      <w:r>
        <w:t xml:space="preserve">The methodology included:</w:t>
      </w:r>
    </w:p>
    <w:p>
      <w:pPr>
        <w:pStyle w:val="Compact"/>
        <w:numPr>
          <w:ilvl w:val="0"/>
          <w:numId w:val="1003"/>
        </w:numPr>
      </w:pPr>
      <w:r>
        <w:t xml:space="preserve">KPI aggregation and benchmarking</w:t>
      </w:r>
    </w:p>
    <w:p>
      <w:pPr>
        <w:pStyle w:val="Compact"/>
        <w:numPr>
          <w:ilvl w:val="0"/>
          <w:numId w:val="1003"/>
        </w:numPr>
      </w:pPr>
      <w:r>
        <w:t xml:space="preserve">Trend and correlation analysis</w:t>
      </w:r>
    </w:p>
    <w:p>
      <w:pPr>
        <w:pStyle w:val="Compact"/>
        <w:numPr>
          <w:ilvl w:val="0"/>
          <w:numId w:val="1003"/>
        </w:numPr>
      </w:pPr>
      <w:r>
        <w:t xml:space="preserve">Promotion elasticity assessment</w:t>
      </w:r>
    </w:p>
    <w:p>
      <w:pPr>
        <w:pStyle w:val="Compact"/>
        <w:numPr>
          <w:ilvl w:val="0"/>
          <w:numId w:val="1003"/>
        </w:numPr>
      </w:pPr>
      <w:r>
        <w:t xml:space="preserve">Pricing perception analysis</w:t>
      </w:r>
    </w:p>
    <w:p>
      <w:pPr>
        <w:pStyle w:val="Compact"/>
        <w:numPr>
          <w:ilvl w:val="0"/>
          <w:numId w:val="1003"/>
        </w:numPr>
      </w:pPr>
      <w:r>
        <w:t xml:space="preserve">Sentiment impact modeling</w:t>
      </w:r>
    </w:p>
    <w:p>
      <w:pPr>
        <w:pStyle w:val="Compact"/>
        <w:numPr>
          <w:ilvl w:val="0"/>
          <w:numId w:val="1003"/>
        </w:numPr>
      </w:pPr>
      <w:r>
        <w:t xml:space="preserve">Return risk segmentation</w:t>
      </w:r>
    </w:p>
    <w:p>
      <w:pPr>
        <w:pStyle w:val="Compact"/>
        <w:numPr>
          <w:ilvl w:val="0"/>
          <w:numId w:val="1003"/>
        </w:numPr>
      </w:pPr>
      <w:r>
        <w:t xml:space="preserve">Cross‑dimensional dashboard visualization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performance-indicators-kpis"/>
    <w:p>
      <w:pPr>
        <w:pStyle w:val="Heading2"/>
      </w:pPr>
      <w:r>
        <w:t xml:space="preserve">4. Key Performance Indicators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Customer Visits</w:t>
            </w:r>
          </w:p>
        </w:tc>
        <w:tc>
          <w:tcPr/>
          <w:p>
            <w:pPr>
              <w:pStyle w:val="Compact"/>
            </w:pPr>
            <w:r>
              <w:t xml:space="preserve">3,591,727+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Footfall</w:t>
            </w:r>
          </w:p>
        </w:tc>
        <w:tc>
          <w:tcPr/>
          <w:p>
            <w:pPr>
              <w:pStyle w:val="Compact"/>
            </w:pPr>
            <w:r>
              <w:t xml:space="preserve">239.45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Price Gap vs Competitors</w:t>
            </w:r>
          </w:p>
        </w:tc>
        <w:tc>
          <w:tcPr/>
          <w:p>
            <w:pPr>
              <w:pStyle w:val="Compact"/>
            </w:pPr>
            <w:r>
              <w:t xml:space="preserve">-$0.044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Availability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Customer Sentiment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Return Rate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Rate During Promotions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demand-sales-drivers-analysis"/>
    <w:p>
      <w:pPr>
        <w:pStyle w:val="Heading2"/>
      </w:pPr>
      <w:r>
        <w:t xml:space="preserve">5. Demand &amp; Sales Drivers Analysis</w:t>
      </w:r>
    </w:p>
    <w:bookmarkStart w:id="26" w:name="promotion-intensity-vs-footfall"/>
    <w:p>
      <w:pPr>
        <w:pStyle w:val="Heading3"/>
      </w:pPr>
      <w:r>
        <w:t xml:space="preserve">5.1 Promotion Intensity vs Footfall</w:t>
      </w:r>
    </w:p>
    <w:p>
      <w:pPr>
        <w:pStyle w:val="FirstParagraph"/>
      </w:pPr>
      <w:r>
        <w:t xml:space="preserve">Customer footfall increases consistently as promotion intensity rises. Peak traffic is observed within promotion intensity levels 5–7.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Promotional campaigns are a primary driver of demand generation.</w:t>
      </w:r>
    </w:p>
    <w:p>
      <w:r>
        <w:pict>
          <v:rect style="width:0;height:1.5pt" o:hralign="center" o:hrstd="t" o:hr="t"/>
        </w:pict>
      </w:r>
    </w:p>
    <w:bookmarkEnd w:id="26"/>
    <w:bookmarkStart w:id="27" w:name="discount-level-effectiveness"/>
    <w:p>
      <w:pPr>
        <w:pStyle w:val="Heading3"/>
      </w:pPr>
      <w:r>
        <w:t xml:space="preserve">5.2 Discount Level Effectiveness</w:t>
      </w:r>
    </w:p>
    <w:p>
      <w:pPr>
        <w:pStyle w:val="FirstParagraph"/>
      </w:pPr>
      <w:r>
        <w:t xml:space="preserve">Moderate discount levels generate the highest footfall volumes. However, extreme discounting results in declining traffic beyond a threshold.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Excessive discounting may erode brand value and reduce demand quality.</w:t>
      </w:r>
    </w:p>
    <w:p>
      <w:r>
        <w:pict>
          <v:rect style="width:0;height:1.5pt" o:hralign="center" o:hrstd="t" o:hr="t"/>
        </w:pict>
      </w:r>
    </w:p>
    <w:bookmarkEnd w:id="27"/>
    <w:bookmarkStart w:id="28" w:name="advertising-spend-efficiency"/>
    <w:p>
      <w:pPr>
        <w:pStyle w:val="Heading3"/>
      </w:pPr>
      <w:r>
        <w:t xml:space="preserve">5.3 Advertising Spend Efficiency</w:t>
      </w:r>
    </w:p>
    <w:p>
      <w:pPr>
        <w:pStyle w:val="FirstParagraph"/>
      </w:pPr>
      <w:r>
        <w:t xml:space="preserve">A strong positive correlation exists between advertising spend and customer footfall. However, diminishing marginal returns appear at higher spend levels.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Marketing investments drive demand but require optimization to avoid inefficiency.</w:t>
      </w:r>
    </w:p>
    <w:p>
      <w:r>
        <w:pict>
          <v:rect style="width:0;height:1.5pt" o:hralign="center" o:hrstd="t" o:hr="t"/>
        </w:pict>
      </w:r>
    </w:p>
    <w:bookmarkEnd w:id="28"/>
    <w:bookmarkStart w:id="29" w:name="product-tier-performance"/>
    <w:p>
      <w:pPr>
        <w:pStyle w:val="Heading3"/>
      </w:pPr>
      <w:r>
        <w:t xml:space="preserve">5.4 Product Tier Performance</w:t>
      </w:r>
    </w:p>
    <w:p>
      <w:pPr>
        <w:pStyle w:val="FirstParagraph"/>
      </w:pPr>
      <w:r>
        <w:t xml:space="preserve">Medium‑tier products receive the highest promotional support and generate the highest footfall.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Mid‑priced products demonstrate the strongest demand elasticity.</w:t>
      </w:r>
    </w:p>
    <w:p>
      <w:r>
        <w:pict>
          <v:rect style="width:0;height:1.5pt" o:hralign="center" o:hrstd="t" o:hr="t"/>
        </w:pict>
      </w:r>
    </w:p>
    <w:bookmarkEnd w:id="29"/>
    <w:bookmarkStart w:id="30" w:name="inventory-availability-impact"/>
    <w:p>
      <w:pPr>
        <w:pStyle w:val="Heading3"/>
      </w:pPr>
      <w:r>
        <w:t xml:space="preserve">5.5 Inventory Availability Impact</w:t>
      </w:r>
    </w:p>
    <w:p>
      <w:pPr>
        <w:pStyle w:val="FirstParagraph"/>
      </w:pPr>
      <w:r>
        <w:t xml:space="preserve">Higher stock availability aligns with higher customer footfall. Stock shortages suppress potential sales during peak demand periods.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Inventory readiness is a critical enabler of sales growth.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customer-experience-risk-analysis"/>
    <w:p>
      <w:pPr>
        <w:pStyle w:val="Heading2"/>
      </w:pPr>
      <w:r>
        <w:t xml:space="preserve">6. Customer Experience &amp; Risk Analysis</w:t>
      </w:r>
    </w:p>
    <w:bookmarkStart w:id="32" w:name="sentiment-vs-promotion-intensity"/>
    <w:p>
      <w:pPr>
        <w:pStyle w:val="Heading3"/>
      </w:pPr>
      <w:r>
        <w:t xml:space="preserve">6.1 Sentiment vs Promotion Intensity</w:t>
      </w:r>
    </w:p>
    <w:p>
      <w:pPr>
        <w:pStyle w:val="FirstParagraph"/>
      </w:pPr>
      <w:r>
        <w:t xml:space="preserve">Customer sentiment improves as promotion intensity increases, indicating that promotional engagement enhances customer perception.</w:t>
      </w:r>
    </w:p>
    <w:p>
      <w:r>
        <w:pict>
          <v:rect style="width:0;height:1.5pt" o:hralign="center" o:hrstd="t" o:hr="t"/>
        </w:pict>
      </w:r>
    </w:p>
    <w:bookmarkEnd w:id="32"/>
    <w:bookmarkStart w:id="33" w:name="return-rate-by-sentiment-level"/>
    <w:p>
      <w:pPr>
        <w:pStyle w:val="Heading3"/>
      </w:pPr>
      <w:r>
        <w:t xml:space="preserve">6.2 Return Rate by Sentiment Level</w:t>
      </w:r>
    </w:p>
    <w:p>
      <w:pPr>
        <w:pStyle w:val="FirstParagraph"/>
      </w:pPr>
      <w:r>
        <w:t xml:space="preserve">Customers with negative sentiment exhibit significantly higher return rates compared to those with positive sentiment.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Customer experience directly influences operational costs.</w:t>
      </w:r>
    </w:p>
    <w:p>
      <w:r>
        <w:pict>
          <v:rect style="width:0;height:1.5pt" o:hralign="center" o:hrstd="t" o:hr="t"/>
        </w:pict>
      </w:r>
    </w:p>
    <w:bookmarkEnd w:id="33"/>
    <w:bookmarkStart w:id="34" w:name="return-rate-vs-inventory-levels"/>
    <w:p>
      <w:pPr>
        <w:pStyle w:val="Heading3"/>
      </w:pPr>
      <w:r>
        <w:t xml:space="preserve">6.3 Return Rate vs Inventory Levels</w:t>
      </w:r>
    </w:p>
    <w:p>
      <w:pPr>
        <w:pStyle w:val="FirstParagraph"/>
      </w:pPr>
      <w:r>
        <w:t xml:space="preserve">Return clustering is more pronounced at higher inventory levels, suggesting overstock exposure.</w:t>
      </w:r>
    </w:p>
    <w:p>
      <w:r>
        <w:pict>
          <v:rect style="width:0;height:1.5pt" o:hralign="center" o:hrstd="t" o:hr="t"/>
        </w:pict>
      </w:r>
    </w:p>
    <w:bookmarkEnd w:id="34"/>
    <w:bookmarkStart w:id="35" w:name="promotion-intensity-vs-returns"/>
    <w:p>
      <w:pPr>
        <w:pStyle w:val="Heading3"/>
      </w:pPr>
      <w:r>
        <w:t xml:space="preserve">6.4 Promotion Intensity vs Returns</w:t>
      </w:r>
    </w:p>
    <w:p>
      <w:pPr>
        <w:pStyle w:val="FirstParagraph"/>
      </w:pPr>
      <w:r>
        <w:t xml:space="preserve">Return rates increase during high‑intensity promotions.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Aggressive promotions may encourage low‑commitment purchases.</w:t>
      </w:r>
    </w:p>
    <w:p>
      <w:r>
        <w:pict>
          <v:rect style="width:0;height:1.5pt" o:hralign="center" o:hrstd="t" o:hr="t"/>
        </w:pict>
      </w:r>
    </w:p>
    <w:bookmarkEnd w:id="35"/>
    <w:bookmarkStart w:id="36" w:name="X7d7b5ec879fcd943fd78037541b377b619bc9f3"/>
    <w:p>
      <w:pPr>
        <w:pStyle w:val="Heading3"/>
      </w:pPr>
      <w:r>
        <w:t xml:space="preserve">6.5 Pricing vs Competitor Impact on Sentiment</w:t>
      </w:r>
    </w:p>
    <w:p>
      <w:pPr>
        <w:pStyle w:val="FirstParagraph"/>
      </w:pPr>
      <w:r>
        <w:t xml:space="preserve">When products are priced above competitors, customer sentiment declines. Competitive pricing improves perception and satisfaction.</w:t>
      </w:r>
    </w:p>
    <w:p>
      <w:r>
        <w:pict>
          <v:rect style="width:0;height:1.5pt" o:hralign="center" o:hrstd="t" o:hr="t"/>
        </w:pict>
      </w:r>
    </w:p>
    <w:bookmarkEnd w:id="36"/>
    <w:bookmarkStart w:id="37" w:name="sentiment-by-product-tier"/>
    <w:p>
      <w:pPr>
        <w:pStyle w:val="Heading3"/>
      </w:pPr>
      <w:r>
        <w:t xml:space="preserve">6.6 Sentiment by Product Tier</w:t>
      </w:r>
    </w:p>
    <w:p>
      <w:pPr>
        <w:pStyle w:val="FirstParagraph"/>
      </w:pPr>
      <w:r>
        <w:t xml:space="preserve">Low‑tier products record the highest sentiment levels, while high‑tier products maintain strong but slightly lower sentiment.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Value perception varies across pricing segments.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key-insights-summary"/>
    <w:p>
      <w:pPr>
        <w:pStyle w:val="Heading2"/>
      </w:pPr>
      <w:r>
        <w:t xml:space="preserve">7. Key Insights Summary</w:t>
      </w:r>
    </w:p>
    <w:p>
      <w:pPr>
        <w:pStyle w:val="Compact"/>
        <w:numPr>
          <w:ilvl w:val="0"/>
          <w:numId w:val="1004"/>
        </w:numPr>
      </w:pPr>
      <w:r>
        <w:t xml:space="preserve">Promotions significantly increase customer traffic</w:t>
      </w:r>
    </w:p>
    <w:p>
      <w:pPr>
        <w:pStyle w:val="Compact"/>
        <w:numPr>
          <w:ilvl w:val="0"/>
          <w:numId w:val="1004"/>
        </w:numPr>
      </w:pPr>
      <w:r>
        <w:t xml:space="preserve">Mid‑range discounts drive optimal demand</w:t>
      </w:r>
    </w:p>
    <w:p>
      <w:pPr>
        <w:pStyle w:val="Compact"/>
        <w:numPr>
          <w:ilvl w:val="0"/>
          <w:numId w:val="1004"/>
        </w:numPr>
      </w:pPr>
      <w:r>
        <w:t xml:space="preserve">Advertising spend positively influences footfall</w:t>
      </w:r>
    </w:p>
    <w:p>
      <w:pPr>
        <w:pStyle w:val="Compact"/>
        <w:numPr>
          <w:ilvl w:val="0"/>
          <w:numId w:val="1004"/>
        </w:numPr>
      </w:pPr>
      <w:r>
        <w:t xml:space="preserve">Medium‑tier products generate the highest traffic</w:t>
      </w:r>
    </w:p>
    <w:p>
      <w:pPr>
        <w:pStyle w:val="Compact"/>
        <w:numPr>
          <w:ilvl w:val="0"/>
          <w:numId w:val="1004"/>
        </w:numPr>
      </w:pPr>
      <w:r>
        <w:t xml:space="preserve">Stock availability directly impacts sales performance</w:t>
      </w:r>
    </w:p>
    <w:p>
      <w:pPr>
        <w:pStyle w:val="Compact"/>
        <w:numPr>
          <w:ilvl w:val="0"/>
          <w:numId w:val="1004"/>
        </w:numPr>
      </w:pPr>
      <w:r>
        <w:t xml:space="preserve">Positive sentiment reduces return risk</w:t>
      </w:r>
    </w:p>
    <w:p>
      <w:pPr>
        <w:pStyle w:val="Compact"/>
        <w:numPr>
          <w:ilvl w:val="0"/>
          <w:numId w:val="1004"/>
        </w:numPr>
      </w:pPr>
      <w:r>
        <w:t xml:space="preserve">High promotions increase return exposure</w:t>
      </w:r>
    </w:p>
    <w:p>
      <w:pPr>
        <w:pStyle w:val="Compact"/>
        <w:numPr>
          <w:ilvl w:val="0"/>
          <w:numId w:val="1004"/>
        </w:numPr>
      </w:pPr>
      <w:r>
        <w:t xml:space="preserve">Competitive pricing improves customer experience</w:t>
      </w:r>
    </w:p>
    <w:p>
      <w:r>
        <w:pict>
          <v:rect style="width:0;height:1.5pt" o:hralign="center" o:hrstd="t" o:hr="t"/>
        </w:pict>
      </w:r>
    </w:p>
    <w:bookmarkEnd w:id="39"/>
    <w:bookmarkStart w:id="46" w:name="strategic-business-recommendations"/>
    <w:p>
      <w:pPr>
        <w:pStyle w:val="Heading2"/>
      </w:pPr>
      <w:r>
        <w:t xml:space="preserve">8. Strategic Business Recommendations</w:t>
      </w:r>
    </w:p>
    <w:bookmarkStart w:id="40" w:name="promotion-strategy-optimization"/>
    <w:p>
      <w:pPr>
        <w:pStyle w:val="Heading3"/>
      </w:pPr>
      <w:r>
        <w:t xml:space="preserve">8.1 Promotion Strategy Optimization</w:t>
      </w:r>
    </w:p>
    <w:p>
      <w:pPr>
        <w:pStyle w:val="Compact"/>
        <w:numPr>
          <w:ilvl w:val="0"/>
          <w:numId w:val="1005"/>
        </w:numPr>
      </w:pPr>
      <w:r>
        <w:t xml:space="preserve">Maintain promotion intensity within optimal ranges</w:t>
      </w:r>
    </w:p>
    <w:p>
      <w:pPr>
        <w:pStyle w:val="Compact"/>
        <w:numPr>
          <w:ilvl w:val="0"/>
          <w:numId w:val="1005"/>
        </w:numPr>
      </w:pPr>
      <w:r>
        <w:t xml:space="preserve">Avoid excessive promotional saturation</w:t>
      </w:r>
    </w:p>
    <w:bookmarkEnd w:id="40"/>
    <w:bookmarkStart w:id="41" w:name="discount-governance"/>
    <w:p>
      <w:pPr>
        <w:pStyle w:val="Heading3"/>
      </w:pPr>
      <w:r>
        <w:t xml:space="preserve">8.2 Discount Governance</w:t>
      </w:r>
    </w:p>
    <w:p>
      <w:pPr>
        <w:pStyle w:val="Compact"/>
        <w:numPr>
          <w:ilvl w:val="0"/>
          <w:numId w:val="1006"/>
        </w:numPr>
      </w:pPr>
      <w:r>
        <w:t xml:space="preserve">Focus on mid‑range discount structures</w:t>
      </w:r>
    </w:p>
    <w:p>
      <w:pPr>
        <w:pStyle w:val="Compact"/>
        <w:numPr>
          <w:ilvl w:val="0"/>
          <w:numId w:val="1006"/>
        </w:numPr>
      </w:pPr>
      <w:r>
        <w:t xml:space="preserve">Protect margins from deep discounting</w:t>
      </w:r>
    </w:p>
    <w:bookmarkEnd w:id="41"/>
    <w:bookmarkStart w:id="42" w:name="marketing-spend-reallocation"/>
    <w:p>
      <w:pPr>
        <w:pStyle w:val="Heading3"/>
      </w:pPr>
      <w:r>
        <w:t xml:space="preserve">8.3 Marketing Spend Reallocation</w:t>
      </w:r>
    </w:p>
    <w:p>
      <w:pPr>
        <w:pStyle w:val="Compact"/>
        <w:numPr>
          <w:ilvl w:val="0"/>
          <w:numId w:val="1007"/>
        </w:numPr>
      </w:pPr>
      <w:r>
        <w:t xml:space="preserve">Increase investment in high‑performing SKUs</w:t>
      </w:r>
    </w:p>
    <w:p>
      <w:pPr>
        <w:pStyle w:val="Compact"/>
        <w:numPr>
          <w:ilvl w:val="0"/>
          <w:numId w:val="1007"/>
        </w:numPr>
      </w:pPr>
      <w:r>
        <w:t xml:space="preserve">Reduce spend on low‑footfall products</w:t>
      </w:r>
    </w:p>
    <w:bookmarkEnd w:id="42"/>
    <w:bookmarkStart w:id="43" w:name="inventory-planning"/>
    <w:p>
      <w:pPr>
        <w:pStyle w:val="Heading3"/>
      </w:pPr>
      <w:r>
        <w:t xml:space="preserve">8.4 Inventory Planning</w:t>
      </w:r>
    </w:p>
    <w:p>
      <w:pPr>
        <w:pStyle w:val="Compact"/>
        <w:numPr>
          <w:ilvl w:val="0"/>
          <w:numId w:val="1008"/>
        </w:numPr>
      </w:pPr>
      <w:r>
        <w:t xml:space="preserve">Align stock levels with campaign calendars</w:t>
      </w:r>
    </w:p>
    <w:p>
      <w:pPr>
        <w:pStyle w:val="Compact"/>
        <w:numPr>
          <w:ilvl w:val="0"/>
          <w:numId w:val="1008"/>
        </w:numPr>
      </w:pPr>
      <w:r>
        <w:t xml:space="preserve">Prevent stockouts during peak promotions</w:t>
      </w:r>
    </w:p>
    <w:p>
      <w:pPr>
        <w:pStyle w:val="Compact"/>
        <w:numPr>
          <w:ilvl w:val="0"/>
          <w:numId w:val="1008"/>
        </w:numPr>
      </w:pPr>
      <w:r>
        <w:t xml:space="preserve">Avoid overstocking slow‑moving products</w:t>
      </w:r>
    </w:p>
    <w:bookmarkEnd w:id="43"/>
    <w:bookmarkStart w:id="44" w:name="pricing-strategy"/>
    <w:p>
      <w:pPr>
        <w:pStyle w:val="Heading3"/>
      </w:pPr>
      <w:r>
        <w:t xml:space="preserve">8.5 Pricing Strategy</w:t>
      </w:r>
    </w:p>
    <w:p>
      <w:pPr>
        <w:pStyle w:val="Compact"/>
        <w:numPr>
          <w:ilvl w:val="0"/>
          <w:numId w:val="1009"/>
        </w:numPr>
      </w:pPr>
      <w:r>
        <w:t xml:space="preserve">Maintain competitive pricing gaps</w:t>
      </w:r>
    </w:p>
    <w:p>
      <w:pPr>
        <w:pStyle w:val="Compact"/>
        <w:numPr>
          <w:ilvl w:val="0"/>
          <w:numId w:val="1009"/>
        </w:numPr>
      </w:pPr>
      <w:r>
        <w:t xml:space="preserve">Monitor competitor price movements</w:t>
      </w:r>
    </w:p>
    <w:p>
      <w:pPr>
        <w:pStyle w:val="Compact"/>
        <w:numPr>
          <w:ilvl w:val="0"/>
          <w:numId w:val="1009"/>
        </w:numPr>
      </w:pPr>
      <w:r>
        <w:t xml:space="preserve">Use pricing tactically to influence sentiment</w:t>
      </w:r>
    </w:p>
    <w:bookmarkEnd w:id="44"/>
    <w:bookmarkStart w:id="45" w:name="returns-mitigation"/>
    <w:p>
      <w:pPr>
        <w:pStyle w:val="Heading3"/>
      </w:pPr>
      <w:r>
        <w:t xml:space="preserve">8.6 Returns Mitigation</w:t>
      </w:r>
    </w:p>
    <w:p>
      <w:pPr>
        <w:pStyle w:val="Compact"/>
        <w:numPr>
          <w:ilvl w:val="0"/>
          <w:numId w:val="1010"/>
        </w:numPr>
      </w:pPr>
      <w:r>
        <w:t xml:space="preserve">Improve product education during promotions</w:t>
      </w:r>
    </w:p>
    <w:p>
      <w:pPr>
        <w:pStyle w:val="Compact"/>
        <w:numPr>
          <w:ilvl w:val="0"/>
          <w:numId w:val="1010"/>
        </w:numPr>
      </w:pPr>
      <w:r>
        <w:t xml:space="preserve">Target dissatisfied customers with service recovery</w:t>
      </w:r>
    </w:p>
    <w:p>
      <w:pPr>
        <w:pStyle w:val="Compact"/>
        <w:numPr>
          <w:ilvl w:val="0"/>
          <w:numId w:val="1010"/>
        </w:numPr>
      </w:pPr>
      <w:r>
        <w:t xml:space="preserve">Tighten return controls for discounted items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business-impact-potential"/>
    <w:p>
      <w:pPr>
        <w:pStyle w:val="Heading2"/>
      </w:pPr>
      <w:r>
        <w:t xml:space="preserve">9. Business Impact Potential</w:t>
      </w:r>
    </w:p>
    <w:p>
      <w:pPr>
        <w:pStyle w:val="FirstParagraph"/>
      </w:pPr>
      <w:r>
        <w:t xml:space="preserve">If implemented, these strategies could deliver:</w:t>
      </w:r>
    </w:p>
    <w:p>
      <w:pPr>
        <w:pStyle w:val="Compact"/>
        <w:numPr>
          <w:ilvl w:val="0"/>
          <w:numId w:val="1011"/>
        </w:numPr>
      </w:pPr>
      <w:r>
        <w:t xml:space="preserve">Increased promotion ROI</w:t>
      </w:r>
    </w:p>
    <w:p>
      <w:pPr>
        <w:pStyle w:val="Compact"/>
        <w:numPr>
          <w:ilvl w:val="0"/>
          <w:numId w:val="1011"/>
        </w:numPr>
      </w:pPr>
      <w:r>
        <w:t xml:space="preserve">Reduced product return rates</w:t>
      </w:r>
    </w:p>
    <w:p>
      <w:pPr>
        <w:pStyle w:val="Compact"/>
        <w:numPr>
          <w:ilvl w:val="0"/>
          <w:numId w:val="1011"/>
        </w:numPr>
      </w:pPr>
      <w:r>
        <w:t xml:space="preserve">Improved marketing efficiency</w:t>
      </w:r>
    </w:p>
    <w:p>
      <w:pPr>
        <w:pStyle w:val="Compact"/>
        <w:numPr>
          <w:ilvl w:val="0"/>
          <w:numId w:val="1011"/>
        </w:numPr>
      </w:pPr>
      <w:r>
        <w:t xml:space="preserve">Optimized inventory holding costs</w:t>
      </w:r>
    </w:p>
    <w:p>
      <w:pPr>
        <w:pStyle w:val="Compact"/>
        <w:numPr>
          <w:ilvl w:val="0"/>
          <w:numId w:val="1011"/>
        </w:numPr>
      </w:pPr>
      <w:r>
        <w:t xml:space="preserve">Enhanced customer satisfaction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analysis demonstrates that sales performance is driven by a combination of promotional intensity, pricing strategy, advertising investment, product positioning, and inventory readiness.</w:t>
      </w:r>
    </w:p>
    <w:p>
      <w:pPr>
        <w:pStyle w:val="BodyText"/>
      </w:pPr>
      <w:r>
        <w:t xml:space="preserve">Equally, customer sentiment plays a critical role in determining return risk and long‑term profitability.</w:t>
      </w:r>
    </w:p>
    <w:p>
      <w:pPr>
        <w:pStyle w:val="BodyText"/>
      </w:pPr>
      <w:r>
        <w:t xml:space="preserve">By aligning promotional execution, pricing competitiveness, and operational planning with these insights, organizations can achieve sustainable revenue growth while minimizing cost leakage.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Mimi Mimi</w:t>
      </w:r>
      <w:r>
        <w:br/>
      </w:r>
      <w:r>
        <w:t xml:space="preserve">Data Analyst | Sales &amp; Marketing Intelligence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2026-02-12T11:19:56Z</dcterms:created>
  <dcterms:modified xsi:type="dcterms:W3CDTF">2026-02-12T11:19:56Z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