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3333"/>
          <w:sz w:val="22"/>
        </w:rPr>
        <w:t>UNIVERSITÉ DE LA VAKINANKARATRA (UVK)</w:t>
        <w:br/>
        <w:t>Antsirabe — Madagascar</w:t>
        <w:br/>
        <w:t>Année académique 2026 – 2027</w:t>
      </w:r>
    </w:p>
    <w:p>
      <w:pPr>
        <w:jc w:val="center"/>
      </w:pPr>
      <w:r>
        <w:rPr>
          <w:color w:val="888888"/>
        </w:rPr>
        <w:t>————————————————————————————————————————</w:t>
      </w:r>
    </w:p>
    <w:p>
      <w:pPr>
        <w:jc w:val="center"/>
      </w:pPr>
      <w:r>
        <w:rPr>
          <w:b/>
          <w:sz w:val="30"/>
        </w:rPr>
        <w:t>EXTRAIT DE COMPTE RENDU</w:t>
        <w:br/>
        <w:t>Conseil d'université du 12 septembre 2026</w:t>
      </w:r>
    </w:p>
    <w:p>
      <w:pPr>
        <w:jc w:val="center"/>
      </w:pPr>
      <w:r>
        <w:rPr>
          <w:b w:val="0"/>
          <w:i/>
        </w:rPr>
        <w:t>Réf. : 2026-CR-03/UVK — Session ordinaire n° 3 — diffusion restreinte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Le conseil d'université s'est réuni le 12 septembre 2026 à 9 h 00 dans la salle du conseil (bloc A), sous la présidence du Recteur, Prof. Hery Rakotoarisoa.</w:t>
      </w:r>
    </w:p>
    <w:p>
      <w:r>
        <w:rPr>
          <w:b/>
          <w:color w:val="1F3B63"/>
          <w:sz w:val="24"/>
        </w:rPr>
        <w:t>Présents</w:t>
      </w:r>
    </w:p>
    <w:p>
      <w:pPr>
        <w:pStyle w:val="ListBullet"/>
      </w:pPr>
      <w:r>
        <w:rPr>
          <w:b w:val="0"/>
        </w:rPr>
        <w:t>les membres enseignants du conseil (12 présents sur 14) ;</w:t>
      </w:r>
    </w:p>
    <w:p>
      <w:pPr>
        <w:pStyle w:val="ListBullet"/>
      </w:pPr>
      <w:r>
        <w:rPr>
          <w:b w:val="0"/>
        </w:rPr>
        <w:t>les représentants du personnel administratif et technique (3) ;</w:t>
      </w:r>
    </w:p>
    <w:p>
      <w:pPr>
        <w:pStyle w:val="ListBullet"/>
      </w:pPr>
      <w:r>
        <w:rPr>
          <w:b w:val="0"/>
        </w:rPr>
        <w:t>les représentants étudiants (4) ;</w:t>
      </w:r>
    </w:p>
    <w:p>
      <w:pPr>
        <w:pStyle w:val="ListBullet"/>
      </w:pPr>
      <w:r>
        <w:rPr>
          <w:b w:val="0"/>
        </w:rPr>
        <w:t>les doyens des facultés et le secrétaire général (2).</w:t>
      </w:r>
    </w:p>
    <w:p>
      <w:r>
        <w:rPr>
          <w:b/>
          <w:color w:val="1F3B63"/>
          <w:sz w:val="24"/>
        </w:rPr>
        <w:t>Ordre du jour</w:t>
      </w:r>
    </w:p>
    <w:p>
      <w:pPr>
        <w:pStyle w:val="ListBullet"/>
      </w:pPr>
      <w:r>
        <w:rPr>
          <w:b w:val="0"/>
        </w:rPr>
        <w:t>1. Adoption du règlement intérieur de l'année académique 2026-2027 ;</w:t>
      </w:r>
    </w:p>
    <w:p>
      <w:pPr>
        <w:pStyle w:val="ListBullet"/>
      </w:pPr>
      <w:r>
        <w:rPr>
          <w:b w:val="0"/>
        </w:rPr>
        <w:t>2. Fixation des droits d'inscription et des frais annexes ;</w:t>
      </w:r>
    </w:p>
    <w:p>
      <w:pPr>
        <w:pStyle w:val="ListBullet"/>
      </w:pPr>
      <w:r>
        <w:rPr>
          <w:b w:val="0"/>
        </w:rPr>
        <w:t>3. Calendrier de la rentrée universitaire ;</w:t>
      </w:r>
    </w:p>
    <w:p>
      <w:pPr>
        <w:pStyle w:val="ListBullet"/>
      </w:pPr>
      <w:r>
        <w:rPr>
          <w:b w:val="0"/>
        </w:rPr>
        <w:t>4. Campagne des bourses et aides financières ;</w:t>
      </w:r>
    </w:p>
    <w:p>
      <w:pPr>
        <w:pStyle w:val="ListBullet"/>
      </w:pPr>
      <w:r>
        <w:rPr>
          <w:b w:val="0"/>
        </w:rPr>
        <w:t>5. Questions diverses.</w:t>
      </w:r>
    </w:p>
    <w:p>
      <w:r>
        <w:rPr>
          <w:b/>
          <w:color w:val="1F3B63"/>
          <w:sz w:val="24"/>
        </w:rPr>
        <w:t>1. Adoption du règlement intérieur</w:t>
      </w:r>
    </w:p>
    <w:p>
      <w:r>
        <w:rPr>
          <w:b w:val="0"/>
          <w:i w:val="0"/>
        </w:rPr>
        <w:t>Après examen du projet de règlement intérieur préparé par la commission permanente, le conseil adopte le texte pour l'année académique 2026-2027. Le règlement intérieur entre en vigueur le 1er octobre 2026 (arrêté n° 2026-145/UVK/SG). Le taux de présence minimal requis pour l'accès aux examens est confirmé à 75 % des heures dispensées.</w:t>
      </w:r>
    </w:p>
    <w:p>
      <w:r>
        <w:rPr>
          <w:b/>
          <w:color w:val="1F3B63"/>
          <w:sz w:val="24"/>
        </w:rPr>
        <w:t>2. Droits d'inscription et frais</w:t>
      </w:r>
    </w:p>
    <w:p>
      <w:r>
        <w:rPr>
          <w:b w:val="0"/>
          <w:i w:val="0"/>
        </w:rPr>
        <w:t>Le conseil fixe les droits d'inscription pour l'année 2026-2027 comme suit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Désignation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Montant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Licence (par an)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180 000 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Master (par an)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250 000 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Doctorat (par an)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400 000 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Carte d'étudiant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25 000 Ar</w:t>
            </w:r>
          </w:p>
        </w:tc>
      </w:tr>
    </w:tbl>
    <w:p>
      <w:r>
        <w:rPr>
          <w:b w:val="0"/>
          <w:i w:val="0"/>
        </w:rPr>
        <w:t>Un échéancier de paiement en deux versements est maintenu en licence et en master. La pénalité de réinscription tardive est fixée à 20 000 Ar après le 15 décembre 2026.</w:t>
      </w:r>
    </w:p>
    <w:p>
      <w:r>
        <w:rPr>
          <w:b/>
          <w:color w:val="1F3B63"/>
          <w:sz w:val="24"/>
        </w:rPr>
        <w:t>3. Rentrée universitaire</w:t>
      </w:r>
    </w:p>
    <w:p>
      <w:r>
        <w:rPr>
          <w:b w:val="0"/>
          <w:i w:val="0"/>
        </w:rPr>
        <w:t>La rentrée universitaire est fixée au **5 octobre 2026**, avec une semaine d'intégration du 12 au 16 octobre et la reprise effective des cours le 19 octobre 2026. Le calendrier académique détaillé fait l'objet d'un arrêté séparé.</w:t>
      </w:r>
    </w:p>
    <w:p>
      <w:r>
        <w:rPr>
          <w:b/>
          <w:color w:val="1F3B63"/>
          <w:sz w:val="24"/>
        </w:rPr>
        <w:t>4. Campagne des bourses</w:t>
      </w:r>
    </w:p>
    <w:p>
      <w:r>
        <w:rPr>
          <w:b w:val="0"/>
          <w:i w:val="0"/>
        </w:rPr>
        <w:t>Le conseil valide l'ouverture de la campagne des bourses du **15 octobre au 30 novembre 2026**, avec quatre dispositifs : bourse de mérite, bourse sociale, bourse de mobilité et allocation d'urgence. La commission des bourses se réunira le 15 décembre 2026 ; les résultats seront publiés le 20 décembre 2026.</w:t>
      </w:r>
    </w:p>
    <w:p>
      <w:r>
        <w:rPr>
          <w:b/>
          <w:color w:val="1F3B63"/>
          <w:sz w:val="24"/>
        </w:rPr>
        <w:t>5. Questions diverses</w:t>
      </w:r>
    </w:p>
    <w:p>
      <w:pPr>
        <w:pStyle w:val="ListBullet"/>
      </w:pPr>
      <w:r>
        <w:rPr>
          <w:b w:val="0"/>
        </w:rPr>
        <w:t>le conseil demande la réfection de la toiture du bloc C avant la saison des pluies ;</w:t>
      </w:r>
    </w:p>
    <w:p>
      <w:pPr>
        <w:pStyle w:val="ListBullet"/>
      </w:pPr>
      <w:r>
        <w:rPr>
          <w:b w:val="0"/>
        </w:rPr>
        <w:t>l'ouverture d'une permanence d'écoute psychologique est actée (mardi et jeudi) ;</w:t>
      </w:r>
    </w:p>
    <w:p>
      <w:pPr>
        <w:pStyle w:val="ListBullet"/>
      </w:pPr>
      <w:r>
        <w:rPr>
          <w:b w:val="0"/>
        </w:rPr>
        <w:t>le forum des associations est confirmé pendant la semaine d'intégration.</w:t>
      </w:r>
    </w:p>
    <w:p>
      <w:r>
        <w:rPr>
          <w:b w:val="0"/>
          <w:i w:val="0"/>
        </w:rPr>
      </w:r>
    </w:p>
    <w:p>
      <w:r>
        <w:rPr>
          <w:b w:val="0"/>
          <w:i/>
        </w:rPr>
        <w:t>Séance levée à 11 h 30. Le présent extrait est délivré pour servir et valoir ce que de droit.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Le Secrétaire du conseil,</w:t>
        <w:br/>
        <w:t>Dr. Voahangy Rasoanaivo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