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6A31E4"/>
          <w:sz w:val="18"/>
        </w:rPr>
        <w:t>HCP ADMIN / DESIGN SYSTEM</w:t>
      </w:r>
    </w:p>
    <w:p>
      <w:pPr>
        <w:spacing w:before="0" w:after="120"/>
      </w:pPr>
      <w:r>
        <w:rPr>
          <w:rFonts w:ascii="Calibri" w:hAnsi="Calibri"/>
          <w:b/>
          <w:color w:val="110B20"/>
          <w:sz w:val="56"/>
        </w:rPr>
        <w:t>Paleta de cores HCP Admin</w:t>
      </w:r>
    </w:p>
    <w:p>
      <w:pPr>
        <w:spacing w:before="0" w:after="360"/>
      </w:pPr>
      <w:r>
        <w:rPr>
          <w:rFonts w:ascii="Calibri" w:hAnsi="Calibri"/>
          <w:color w:val="666987"/>
          <w:sz w:val="27"/>
        </w:rPr>
        <w:t>Guia cromático reconstruído a partir do vídeo e de 23 capturas da interface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val="893" w:hRule="atLeast"/>
          <w:tblHeader w:val="true"/>
        </w:trP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5010A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FUNDO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VIOLETA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6A31E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ROXO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64AE4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ÍNDIGO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32E2E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5010A"/>
                <w:sz w:val="17"/>
              </w:rPr>
              <w:t>CIANO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53415"/>
            <wp:docPr id="1" name="Picture 1" descr="Captura do painel administrativo HCP em modo escuro, usada como referência cromát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ao-geral-to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5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66987"/>
          <w:sz w:val="17"/>
        </w:rPr>
        <w:t>Figura 1. Referência visual principal: tela Visão Geral do painel administrativo.</w:t>
      </w:r>
    </w:p>
    <w:p>
      <w:pPr>
        <w:spacing w:before="120" w:after="200" w:line="276" w:lineRule="auto"/>
        <w:ind w:left="259" w:right="202"/>
        <w:shd w:fill="F6F4FB" w:val="clear"/>
        <w:pBdr>
          <w:left w:val="single" w:sz="20" w:space="8" w:color="A142F0"/>
        </w:pBdr>
      </w:pPr>
      <w:r>
        <w:rPr>
          <w:rFonts w:ascii="Calibri" w:hAnsi="Calibri"/>
          <w:b/>
          <w:color w:val="A142F0"/>
          <w:sz w:val="20"/>
        </w:rPr>
        <w:t xml:space="preserve">Precisão: </w:t>
      </w:r>
      <w:r>
        <w:rPr>
          <w:rFonts w:ascii="Calibri" w:hAnsi="Calibri"/>
          <w:color w:val="211A2D"/>
          <w:sz w:val="20"/>
        </w:rPr>
        <w:t>Os valores são aproximações visuais. Compressão do MP4, antialiasing e brilho do monitor podem alterar alguns pontos; a implementação final deve ser conferida no navegador.</w:t>
      </w:r>
    </w:p>
    <w:p>
      <w:pPr>
        <w:jc w:val="center"/>
      </w:pPr>
      <w:r>
        <w:rPr>
          <w:rFonts w:ascii="Calibri" w:hAnsi="Calibri"/>
          <w:b/>
          <w:color w:val="666987"/>
          <w:sz w:val="18"/>
        </w:rPr>
        <w:t>Versão 1.1  |  Agosto de 2026  |  Escopo: painel administrativo</w:t>
      </w:r>
    </w:p>
    <w:p>
      <w:r>
        <w:br w:type="page"/>
      </w:r>
    </w:p>
    <w:p>
      <w:pPr>
        <w:pStyle w:val="Heading1"/>
      </w:pPr>
      <w:r>
        <w:t>Resumo executivo</w:t>
      </w:r>
    </w:p>
    <w:p>
      <w:pPr>
        <w:spacing w:after="200"/>
      </w:pPr>
      <w:r>
        <w:t>A interface analisada usa um núcleo quase preto com subtom violeta, superfícies elevadas em roxo profundo e acentos luminosos em violeta, índigo, azul e ciano. A combinação cria alta densidade visual sem perder hierarquia em gráficos, filtros, tickets e tabelas.</w:t>
      </w:r>
    </w:p>
    <w:p>
      <w:pPr>
        <w:spacing w:before="120" w:after="200" w:line="276" w:lineRule="auto"/>
        <w:ind w:left="259" w:right="202"/>
        <w:shd w:fill="F3EEFF" w:val="clear"/>
        <w:pBdr>
          <w:left w:val="single" w:sz="20" w:space="8" w:color="6A31E4"/>
        </w:pBdr>
      </w:pPr>
      <w:r>
        <w:rPr>
          <w:rFonts w:ascii="Calibri" w:hAnsi="Calibri"/>
          <w:b/>
          <w:color w:val="6A31E4"/>
          <w:sz w:val="20"/>
        </w:rPr>
        <w:t xml:space="preserve">Conclusão: </w:t>
      </w:r>
      <w:r>
        <w:rPr>
          <w:rFonts w:ascii="Calibri" w:hAnsi="Calibri"/>
          <w:color w:val="211A2D"/>
          <w:sz w:val="20"/>
        </w:rPr>
        <w:t>Esta é uma variante HCP Admin. Ela deve coexistir com a paleta principal do produto, não substituí-la automaticamente.</w:t>
      </w:r>
    </w:p>
    <w:p>
      <w:pPr>
        <w:pStyle w:val="Heading2"/>
        <w:keepNext/>
      </w:pPr>
      <w:r>
        <w:t>Cores essenciais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5010A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Fundo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#05010A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Base geral da aplicação.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C0918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Superfície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#0C0918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Cards, listas e campos.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Roxo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#A142F0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Destaques e visualização de dados.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6A31E4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Ação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#6A31E4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Botões e controles prioritários.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64AE4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Índigo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#464AE4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Gradientes e ações primárias.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FFFFC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Texto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#FFFFFC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Títulos e valores de alta prioridade.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DDC5F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Sucesso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#2DDC5F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Ativo, pago, resolvido e crescimento.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EC9C0F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Atenção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#EC9C0F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Espera, pendência e prioridade média.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13B72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Crítico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#F13B72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Erro, cancelamento e prioridade alta.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Fundos, superfícies e marca</w:t>
      </w:r>
    </w:p>
    <w:p>
      <w:pPr>
        <w:pStyle w:val="Heading2"/>
        <w:keepNext/>
      </w:pPr>
      <w:r>
        <w:t>Fundos e superfícies</w:t>
      </w:r>
    </w:p>
    <w:p>
      <w:pPr>
        <w:spacing w:after="160"/>
      </w:pPr>
      <w:r>
        <w:t>A hierarquia de profundidade depende de pequenas variações entre pretos violáceos. Evite substituir todas as camadas por preto puro.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5010A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Fundo principal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#05010A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Plano de fundo geral do painel administrativo.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C0918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Superfície base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#0C0918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Cards, listas, campos e áreas de conteúdo.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110B2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Superfície elevada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#110B20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Cards de métricas, painéis destacados e modais.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140E25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Barra lateral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#140E25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Navegação fixa e áreas estruturais.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Item ativo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#201539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Seleção de menu, filtros e estados ativos.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A154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Borda violeta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#2A1540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Contornos, divisores e foco em fundo escuro.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Marca e ações</w:t>
      </w:r>
    </w:p>
    <w:p>
      <w:pPr>
        <w:spacing w:after="160"/>
      </w:pPr>
      <w:r>
        <w:t>As cores luminosas devem permanecer concentradas em ação, seleção, dados e feedback.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Roxo luminoso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#A142F0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Gráficos, ícones, indicadores e detalhes ativos.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6A31E4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Roxo principal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#6A31E4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Início do gradiente, botões e controles prioritários.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64AE4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Índigo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#464AE4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Final do gradiente e ações primárias.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5082E5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Azul luminoso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#5082E5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Dados, gráficos, avatares e indicadores financeiros.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03381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Violeta médio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#403381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Etiquetas, seleção e superfícies secundárias.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Tipografia e identificação por setor</w:t>
      </w:r>
    </w:p>
    <w:p>
      <w:pPr>
        <w:pStyle w:val="Heading2"/>
        <w:keepNext/>
      </w:pPr>
      <w:r>
        <w:t>Texto e ícones neutros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FFFFC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Texto principal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#FFFFFC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Títulos, valores e ações prioritárias.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5B2C1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Texto secundário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#A5B2C1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Descrições, legendas e rótulos de apoio.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666987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Texto discreto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#666987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Metadados e informação auxiliar; evitar em corpo pequeno.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352F3D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Ícone desativado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#352F3D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Ícones, divisores e controles sem foco.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Setores administrativos</w:t>
      </w:r>
    </w:p>
    <w:p>
      <w:pPr>
        <w:spacing w:after="160"/>
      </w:pPr>
      <w:r>
        <w:t>Cada setor possui uma cor recorrente, mas o nome, o ícone ou o rótulo deve acompanhar a cor para garantir compreensão.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Administrador Geral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#A142F0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Identificação principal e controles globais.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180F2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Financeiro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#4180F2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Métricas, gráficos, etiquetas e permissões financeiras.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32E2E9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Comercial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#32E2E9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Indicadores comerciais, equipes e usuários ativos.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EC9C0F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Suporte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#EC9C0F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Tickets, espera, prioridade média e atendimento.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DC3096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Marketing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#DC3096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Identificação do setor e permissões de marketing.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Estados, gradientes e contraste</w:t>
      </w:r>
    </w:p>
    <w:p>
      <w:pPr>
        <w:pStyle w:val="Heading2"/>
        <w:keepNext/>
      </w:pPr>
      <w:r>
        <w:t>Estados semânticos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93"/>
        <w:gridCol w:w="2333"/>
        <w:gridCol w:w="1555"/>
        <w:gridCol w:w="4579"/>
      </w:tblGrid>
      <w:tr>
        <w:trPr>
          <w:tblHeader w:val="true"/>
        </w:trP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</w:t>
            </w:r>
          </w:p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DDC5F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Sucesso / ativo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#2DDC5F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Online, crescimento, pago, concluído e resolvido.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7C584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Sucesso secundário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#27C584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Confirmações e estados positivos de menor ênfase.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4180F2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Em andamento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#4180F2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Atendimento ativo, informação e progresso.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EC9C0F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Atenção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#EC9C0F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Aguardando cliente, prioridade média e pendências.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13B72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Crítico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#F13B72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Erro, cancelamento, prioridade alta e situação crítica.</w:t>
            </w:r>
          </w:p>
        </w:tc>
      </w:tr>
      <w:tr>
        <w:tc>
          <w:tcPr>
            <w:tcW w:type="dxa" w:w="89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</w:tcPr>
          <w:p/>
        </w:tc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211A2D"/>
                <w:sz w:val="18"/>
              </w:rPr>
              <w:t>Em análise</w:t>
            </w:r>
          </w:p>
        </w:tc>
        <w:tc>
          <w:tcPr>
            <w:tcW w:type="dxa" w:w="1555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b/>
                <w:color w:val="211A2D"/>
                <w:sz w:val="18"/>
              </w:rPr>
              <w:t>#A142F0</w:t>
            </w:r>
          </w:p>
        </w:tc>
        <w:tc>
          <w:tcPr>
            <w:tcW w:type="dxa" w:w="45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8F7FB" w:val="clear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211A2D"/>
                <w:sz w:val="18"/>
              </w:rPr>
              <w:t>Processamento, análise e estado intermediário.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Gradiente principal</w:t>
      </w:r>
    </w:p>
    <w:p>
      <w:pPr>
        <w:spacing w:after="100"/>
      </w:pPr>
      <w:r>
        <w:t>Direção observada em botões, controles ligados, mensagens do chat e ações prioritárias.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31495"/>
            <wp:docPr id="2" name="Picture 2" descr="Gradiente horizontal de roxo para índi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hcp_admin_grad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b/>
          <w:color w:val="403381"/>
          <w:sz w:val="17"/>
        </w:rPr>
        <w:t>#6A31E4  -&gt;  #464AE4   |   linear-gradient(90deg, #6A31E4 0%, #464AE4 100%)</w:t>
      </w:r>
    </w:p>
    <w:p>
      <w:r>
        <w:br w:type="page"/>
      </w:r>
    </w:p>
    <w:p>
      <w:pPr>
        <w:pStyle w:val="Heading1"/>
      </w:pPr>
      <w:r>
        <w:t>Acessibilidade cromática</w:t>
      </w:r>
    </w:p>
    <w:p>
      <w:pPr>
        <w:pStyle w:val="Heading2"/>
        <w:keepNext/>
      </w:pPr>
      <w:r>
        <w:t>Contraste recomendado</w:t>
      </w:r>
    </w:p>
    <w:p>
      <w:pPr>
        <w:spacing w:after="160"/>
      </w:pPr>
      <w:r>
        <w:t>Relações calculadas com a fórmula WCAG. AA considera texto normal a partir de 4,5:1; AAA, 7:1; texto grande pode usar 3:1.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81"/>
        <w:gridCol w:w="1181"/>
        <w:gridCol w:w="1238"/>
        <w:gridCol w:w="1080"/>
        <w:gridCol w:w="1037"/>
        <w:gridCol w:w="3643"/>
      </w:tblGrid>
      <w:tr>
        <w:trPr>
          <w:tblHeader w:val="true"/>
        </w:trP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TEXTO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FUNDO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RAZÃO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AMOSTRA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201539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ORIENTAÇÃO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#FFFFFC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#05010A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20,65:1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AAA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5010A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C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Texto principal no fundo geral.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#FFFFFC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#0C0918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19,63:1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AAA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C0918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C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Texto principal sobre cards.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#A5B2C1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#0C0918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9,12:1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AAA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C0918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A5B2C1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Texto secundário sobre cards.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#666987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#0C0918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3,69:1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Grande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0C0918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66987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Somente texto grande ou metadado não essencial.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#FFFFFF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#6A31E4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6,62:1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AA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6A31E4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Texto branco em botão roxo.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#FFFFFF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#A142F0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4,61:1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AA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A142F0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Texto branco em roxo luminoso.</w:t>
            </w:r>
          </w:p>
        </w:tc>
      </w:tr>
      <w:tr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#FFFFFF</w:t>
            </w:r>
          </w:p>
        </w:tc>
        <w:tc>
          <w:tcPr>
            <w:tcW w:type="dxa" w:w="118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color w:val="211A2D"/>
                <w:sz w:val="17"/>
              </w:rPr>
              <w:t>#F13B72</w:t>
            </w:r>
          </w:p>
        </w:tc>
        <w:tc>
          <w:tcPr>
            <w:tcW w:type="dxa" w:w="123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3,74:1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11A2D"/>
                <w:sz w:val="17"/>
              </w:rPr>
              <w:t>Grande</w:t>
            </w:r>
          </w:p>
        </w:tc>
        <w:tc>
          <w:tcPr>
            <w:tcW w:type="dxa" w:w="1037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  <w:shd w:fill="F13B72" w:val="clea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Aa</w:t>
            </w:r>
          </w:p>
        </w:tc>
        <w:tc>
          <w:tcPr>
            <w:tcW w:type="dxa" w:w="364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DD7EA"/>
              <w:start w:val="single" w:sz="6" w:color="DDD7EA"/>
              <w:bottom w:val="single" w:sz="6" w:color="DDD7EA"/>
              <w:end w:val="single" w:sz="6" w:color="DDD7EA"/>
              <w:insideH w:val="single" w:sz="6" w:color="DDD7EA"/>
              <w:insideV w:val="single" w:sz="6" w:color="DDD7EA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11A2D"/>
                <w:sz w:val="17"/>
              </w:rPr>
              <w:t>Evitar texto pequeno branco em rosa crítico.</w:t>
            </w:r>
          </w:p>
        </w:tc>
      </w:tr>
    </w:tbl>
    <w:p>
      <w:pPr>
        <w:spacing w:before="120" w:after="200" w:line="276" w:lineRule="auto"/>
        <w:ind w:left="259" w:right="202"/>
        <w:shd w:fill="FFF6E7" w:val="clear"/>
        <w:pBdr>
          <w:left w:val="single" w:sz="20" w:space="8" w:color="B66A00"/>
        </w:pBdr>
      </w:pPr>
      <w:r>
        <w:rPr>
          <w:rFonts w:ascii="Calibri" w:hAnsi="Calibri"/>
          <w:b/>
          <w:color w:val="B66A00"/>
          <w:sz w:val="20"/>
        </w:rPr>
        <w:t xml:space="preserve">Atenção: </w:t>
      </w:r>
      <w:r>
        <w:rPr>
          <w:rFonts w:ascii="Calibri" w:hAnsi="Calibri"/>
          <w:color w:val="211A2D"/>
          <w:sz w:val="20"/>
        </w:rPr>
        <w:t>#666987 sobre #0C0918 e branco sobre #F13B72 não atendem AA para texto normal. Reserve essas combinações a texto grande, ícones ou elementos acompanhados por outro sinal visual.</w:t>
      </w:r>
    </w:p>
    <w:p>
      <w:pPr>
        <w:pStyle w:val="Heading2"/>
      </w:pPr>
      <w:r>
        <w:t>Regras de acessibilidade</w:t>
      </w:r>
    </w:p>
    <w:p>
      <w:pPr>
        <w:pStyle w:val="ListBullet"/>
        <w:keepLines/>
      </w:pPr>
      <w:r>
        <w:t>Não comunicar estado apenas por cor; usar rótulo, ícone ou descrição.</w:t>
      </w:r>
    </w:p>
    <w:p>
      <w:pPr>
        <w:pStyle w:val="ListBullet"/>
        <w:keepLines/>
      </w:pPr>
      <w:r>
        <w:t>Manter texto principal em #FFFFFC sobre superfícies escuras.</w:t>
      </w:r>
    </w:p>
    <w:p>
      <w:pPr>
        <w:pStyle w:val="ListBullet"/>
        <w:keepLines/>
      </w:pPr>
      <w:r>
        <w:t>Usar #A5B2C1 como texto secundário e reservar #666987 a metadados não essenciais.</w:t>
      </w:r>
    </w:p>
    <w:p>
      <w:pPr>
        <w:pStyle w:val="ListBullet"/>
        <w:keepLines/>
      </w:pPr>
      <w:r>
        <w:t>Em botões roxos preenchidos, manter texto branco e foco visível.</w:t>
      </w:r>
    </w:p>
    <w:p>
      <w:pPr>
        <w:pStyle w:val="ListBullet"/>
        <w:keepLines/>
      </w:pPr>
      <w:r>
        <w:t>Em chips de alerta ou erro, usar contorno, rótulo e cor simultaneamente.</w:t>
      </w:r>
    </w:p>
    <w:p>
      <w:r>
        <w:br w:type="page"/>
      </w:r>
    </w:p>
    <w:p>
      <w:pPr>
        <w:pStyle w:val="Heading1"/>
      </w:pPr>
      <w:r>
        <w:t>Implementação recomendada</w:t>
      </w:r>
    </w:p>
    <w:p>
      <w:r>
        <w:t>Centralize os valores como tokens exclusivos da área administrativa. Isso evita que a variante do painel altere sem intenção o site principal ou o APK.</w:t>
      </w:r>
    </w:p>
    <w:p>
      <w:pPr>
        <w:spacing w:before="80" w:after="200" w:line="240" w:lineRule="auto"/>
        <w:ind w:left="230" w:right="230"/>
        <w:shd w:fill="F3F0F8" w:val="clear"/>
        <w:pBdr>
          <w:left w:val="single" w:sz="20" w:space="8" w:color="6A31E4"/>
        </w:pBdr>
      </w:pPr>
      <w:r>
        <w:rPr>
          <w:rFonts w:ascii="Consolas" w:hAnsi="Consolas"/>
          <w:color w:val="211A2D"/>
          <w:sz w:val="16"/>
        </w:rPr>
        <w:t>:root[data-area="admin"] {</w:t>
        <w:br/>
        <w:t xml:space="preserve">  --admin-bg: #05010A;</w:t>
        <w:br/>
        <w:t xml:space="preserve">  --admin-surface: #0C0918;</w:t>
        <w:br/>
        <w:t xml:space="preserve">  --admin-surface-elevated: #110B20;</w:t>
        <w:br/>
        <w:t xml:space="preserve">  --admin-sidebar: #140E25;</w:t>
        <w:br/>
        <w:t xml:space="preserve">  --admin-active: #201539;</w:t>
        <w:br/>
        <w:t xml:space="preserve">  --admin-border: #2A1540;</w:t>
        <w:br/>
        <w:br/>
        <w:t xml:space="preserve">  --admin-primary: #A142F0;</w:t>
        <w:br/>
        <w:t xml:space="preserve">  --admin-primary-deep: #6A31E4;</w:t>
        <w:br/>
        <w:t xml:space="preserve">  --admin-indigo: #464AE4;</w:t>
        <w:br/>
        <w:t xml:space="preserve">  --admin-blue: #5082E5;</w:t>
        <w:br/>
        <w:t xml:space="preserve">  --admin-cyan: #32E2E9;</w:t>
        <w:br/>
        <w:br/>
        <w:t xml:space="preserve">  --admin-text: #FFFFFC;</w:t>
        <w:br/>
        <w:t xml:space="preserve">  --admin-text-muted: #A5B2C1;</w:t>
        <w:br/>
        <w:t xml:space="preserve">  --admin-text-subtle: #666987;</w:t>
        <w:br/>
        <w:br/>
        <w:t xml:space="preserve">  --admin-success: #2DDC5F;</w:t>
        <w:br/>
        <w:t xml:space="preserve">  --admin-progress: #4180F2;</w:t>
        <w:br/>
        <w:t xml:space="preserve">  --admin-warning: #EC9C0F;</w:t>
        <w:br/>
        <w:t xml:space="preserve">  --admin-danger: #F13B72;</w:t>
        <w:br/>
        <w:t xml:space="preserve">  --admin-analysis: #A142F0;</w:t>
        <w:br/>
        <w:t>}</w:t>
        <w:br/>
        <w:br/>
        <w:t>.admin-primary-action {</w:t>
        <w:br/>
        <w:t xml:space="preserve">  background: linear-gradient(90deg, #6A31E4 0%, #464AE4 100%);</w:t>
        <w:br/>
        <w:t xml:space="preserve">  color: #FFFFFF;</w:t>
        <w:br/>
        <w:t>}</w:t>
      </w:r>
    </w:p>
    <w:p>
      <w:pPr>
        <w:pStyle w:val="Heading2"/>
      </w:pPr>
      <w:r>
        <w:t>Sequência de adoção</w:t>
      </w:r>
    </w:p>
    <w:p>
      <w:pPr>
        <w:pStyle w:val="ListNumber"/>
        <w:keepLines/>
      </w:pPr>
      <w:r>
        <w:t>Criar os tokens em um único arquivo de tema do painel administrativo.</w:t>
      </w:r>
    </w:p>
    <w:p>
      <w:pPr>
        <w:pStyle w:val="ListNumber"/>
        <w:keepLines/>
      </w:pPr>
      <w:r>
        <w:t>Substituir valores isolados de CSS pelos tokens sem alterar a hierarquia de superfícies.</w:t>
      </w:r>
    </w:p>
    <w:p>
      <w:pPr>
        <w:pStyle w:val="ListNumber"/>
        <w:keepLines/>
      </w:pPr>
      <w:r>
        <w:t>Validar contraste, foco, hover, ativo, desativado e estados de erro.</w:t>
      </w:r>
    </w:p>
    <w:p>
      <w:pPr>
        <w:pStyle w:val="ListNumber"/>
        <w:keepLines/>
      </w:pPr>
      <w:r>
        <w:t>Conferir gráficos e cores de setor com daltonismo simulado.</w:t>
      </w:r>
    </w:p>
    <w:p>
      <w:pPr>
        <w:pStyle w:val="ListNumber"/>
        <w:keepLines/>
      </w:pPr>
      <w:r>
        <w:t>Revisar a interface real lado a lado com este guia antes da publicação.</w:t>
      </w:r>
    </w:p>
    <w:p>
      <w:r>
        <w:br w:type="page"/>
      </w:r>
    </w:p>
    <w:p>
      <w:pPr>
        <w:pStyle w:val="Heading1"/>
      </w:pPr>
      <w:r>
        <w:t>Escopo, fontes e limites</w:t>
      </w:r>
    </w:p>
    <w:p>
      <w:pPr>
        <w:pStyle w:val="Heading2"/>
      </w:pPr>
      <w:r>
        <w:t>Fontes analisadas</w:t>
      </w:r>
    </w:p>
    <w:p>
      <w:pPr>
        <w:pStyle w:val="ListBullet"/>
      </w:pPr>
      <w:r>
        <w:t>Vídeo WhatsApp Video 2026-08-09 at 02.46.47.mp4, com aproximadamente 2 min 39 s.</w:t>
      </w:r>
    </w:p>
    <w:p>
      <w:pPr>
        <w:pStyle w:val="ListBullet"/>
      </w:pPr>
      <w:r>
        <w:t>23 capturas organizadas na pasta prints video admin, cobrindo todas as seções descritas no README.</w:t>
      </w:r>
    </w:p>
    <w:p>
      <w:pPr>
        <w:pStyle w:val="ListBullet"/>
      </w:pPr>
      <w:r>
        <w:t>Arquivo paleta_cores_hcp_admin_video.md, usado como consolidação textual inicial.</w:t>
      </w:r>
    </w:p>
    <w:p>
      <w:pPr>
        <w:pStyle w:val="ListBullet"/>
      </w:pPr>
      <w:r>
        <w:t>Comparação complementar com a paleta principal do HCP para preservar a separação entre produto e área administrativa.</w:t>
      </w:r>
    </w:p>
    <w:p>
      <w:pPr>
        <w:pStyle w:val="Heading2"/>
      </w:pPr>
      <w:r>
        <w:t>Elementos excluídos da amostragem</w:t>
      </w:r>
    </w:p>
    <w:p>
      <w:pPr>
        <w:pStyle w:val="ListBullet"/>
      </w:pPr>
      <w:r>
        <w:t>Marca d'água branca Made in Bolt.</w:t>
      </w:r>
    </w:p>
    <w:p>
      <w:pPr>
        <w:pStyle w:val="ListBullet"/>
      </w:pPr>
      <w:r>
        <w:t>Cursor do mouse, seleção azul de texto e realces temporários do navegador.</w:t>
      </w:r>
    </w:p>
    <w:p>
      <w:pPr>
        <w:pStyle w:val="ListBullet"/>
      </w:pPr>
      <w:r>
        <w:t>Artefatos de compressão do vídeo e pixels de antialiasing nas bordas.</w:t>
      </w:r>
    </w:p>
    <w:p>
      <w:pPr>
        <w:spacing w:before="120" w:after="200" w:line="276" w:lineRule="auto"/>
        <w:ind w:left="259" w:right="202"/>
        <w:shd w:fill="F3EEFF" w:val="clear"/>
        <w:pBdr>
          <w:left w:val="single" w:sz="20" w:space="8" w:color="6A31E4"/>
        </w:pBdr>
      </w:pPr>
      <w:r>
        <w:rPr>
          <w:rFonts w:ascii="Calibri" w:hAnsi="Calibri"/>
          <w:b/>
          <w:color w:val="6A31E4"/>
          <w:sz w:val="20"/>
        </w:rPr>
        <w:t xml:space="preserve">Decisão de identidade: </w:t>
      </w:r>
      <w:r>
        <w:rPr>
          <w:rFonts w:ascii="Calibri" w:hAnsi="Calibri"/>
          <w:color w:val="211A2D"/>
          <w:sz w:val="20"/>
        </w:rPr>
        <w:t>Manter #9747FF como roxo oficial da interface principal do HCP. A variante Admin usa #A142F0, #6A31E4 e #464AE4 dentro de um escopo próprio até que exista uma decisão formal de unificação.</w:t>
      </w:r>
    </w:p>
    <w:p>
      <w:pPr>
        <w:pStyle w:val="Heading2"/>
      </w:pPr>
      <w:r>
        <w:t>Checklist final de aplicação</w:t>
      </w:r>
    </w:p>
    <w:p>
      <w:pPr>
        <w:pStyle w:val="ListBullet"/>
      </w:pPr>
      <w:r>
        <w:t>Fundos e cards mantêm níveis de profundidade distintos.</w:t>
      </w:r>
    </w:p>
    <w:p>
      <w:pPr>
        <w:pStyle w:val="ListBullet"/>
      </w:pPr>
      <w:r>
        <w:t>A cor do setor aparece junto a um nome ou ícone.</w:t>
      </w:r>
    </w:p>
    <w:p>
      <w:pPr>
        <w:pStyle w:val="ListBullet"/>
      </w:pPr>
      <w:r>
        <w:t>Estados críticos não dependem somente do rosa.</w:t>
      </w:r>
    </w:p>
    <w:p>
      <w:pPr>
        <w:pStyle w:val="ListBullet"/>
      </w:pPr>
      <w:r>
        <w:t>Textos pequenos atendem ao contraste mínimo de 4,5:1.</w:t>
      </w:r>
    </w:p>
    <w:p>
      <w:pPr>
        <w:pStyle w:val="ListBullet"/>
      </w:pPr>
      <w:r>
        <w:t>O gradiente roxo-índigo fica reservado a ações prioritárias.</w:t>
      </w:r>
    </w:p>
    <w:p>
      <w:pPr>
        <w:pStyle w:val="ListBullet"/>
      </w:pPr>
      <w:r>
        <w:t>O resultado foi verificado na interface real, não apenas no vídeo.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6987"/>
        <w:sz w:val="17"/>
      </w:rPr>
      <w:t xml:space="preserve">HCP Admin  |  Paleta reconstruida  |  </w:t>
    </w:r>
    <w:r>
      <w:rPr>
        <w:rFonts w:ascii="Calibri" w:hAnsi="Calibri"/>
        <w:color w:val="666987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6A31E4"/>
        <w:sz w:val="17"/>
      </w:rPr>
      <w:t>HCP ADMIN  /  GUIA DE COR</w:t>
    </w:r>
    <w:r>
      <w:rPr>
        <w:rFonts w:ascii="Calibri" w:hAnsi="Calibri"/>
        <w:b/>
        <w:color w:val="666987"/>
        <w:sz w:val="17"/>
      </w:rPr>
      <w:tab/>
      <w:t>AGOSTO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11A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6A31E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6A31E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338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Paleta de cores HCP Admin - prints e vídeo</dc:title>
  <dc:subject>Guia cromático do painel administrativo HCP</dc:subject>
  <dc:creator>HCP</dc:creator>
  <cp:keywords>HCP, paleta, cores, painel administrativo, design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