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left"/>
      </w:pPr>
      <w:r>
        <w:rPr>
          <w:rFonts w:ascii="Calibri" w:hAnsi="Calibri"/>
          <w:b/>
          <w:color w:val="5528B6"/>
          <w:sz w:val="60"/>
        </w:rPr>
        <w:t>Guia HCP</w:t>
      </w:r>
    </w:p>
    <w:p>
      <w:pPr>
        <w:spacing w:after="360"/>
      </w:pPr>
      <w:r>
        <w:rPr>
          <w:rFonts w:ascii="Calibri" w:hAnsi="Calibri"/>
          <w:b/>
          <w:color w:val="3B187C"/>
          <w:sz w:val="36"/>
        </w:rPr>
        <w:t>Cadastro, chaves e integração segura de APIs</w:t>
      </w:r>
    </w:p>
    <w:p>
      <w:pPr>
        <w:spacing w:after="360"/>
      </w:pPr>
      <w:r>
        <w:rPr>
          <w:rFonts w:ascii="Calibri" w:hAnsi="Calibri"/>
          <w:color w:val="171721"/>
          <w:sz w:val="22"/>
        </w:rPr>
        <w:t>Manual prático para operar a autenticação do HCP e conectar novos provedores sem expor segredos no navegador ou no GitHub.</w:t>
      </w:r>
    </w:p>
    <w:p>
      <w:pPr>
        <w:spacing w:before="480" w:after="0"/>
      </w:pPr>
      <w:r>
        <w:rPr>
          <w:rFonts w:ascii="Calibri" w:hAnsi="Calibri"/>
          <w:b/>
          <w:color w:val="77778A"/>
          <w:sz w:val="20"/>
        </w:rPr>
        <w:t>VERSÃO 1.0  |  AGOSTO DE 2026</w:t>
      </w:r>
    </w:p>
    <w:p>
      <w:r>
        <w:br w:type="page"/>
      </w:r>
    </w:p>
    <w:p>
      <w:r>
        <w:rPr>
          <w:rFonts w:ascii="Calibri" w:hAnsi="Calibri"/>
          <w:color w:val="171721"/>
          <w:sz w:val="22"/>
        </w:rPr>
        <w:t>Este guia explica como testar o cadastro do HCP e como conectar novas APIs sem expor senhas, chaves administrativas ou credenciais de terceiros.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1. O que já está configurado no HCP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Supabase Auth para cadastro e login com e-mail e senha.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Confirmação de e-mail e recuperação de senha.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Redirecionamento para </w:t>
      </w:r>
      <w:r>
        <w:rPr>
          <w:rFonts w:ascii="Consolas" w:hAnsi="Consolas"/>
          <w:color w:val="3B187C"/>
          <w:sz w:val="19"/>
        </w:rPr>
        <w:t>html/painel.html</w:t>
      </w:r>
      <w:r>
        <w:rPr>
          <w:rFonts w:ascii="Calibri" w:hAnsi="Calibri"/>
          <w:color w:val="171721"/>
          <w:sz w:val="22"/>
        </w:rPr>
        <w:t xml:space="preserve"> após o login.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Tabela </w:t>
      </w:r>
      <w:r>
        <w:rPr>
          <w:rFonts w:ascii="Consolas" w:hAnsi="Consolas"/>
          <w:color w:val="3B187C"/>
          <w:sz w:val="19"/>
        </w:rPr>
        <w:t>public.profiles</w:t>
      </w:r>
      <w:r>
        <w:rPr>
          <w:rFonts w:ascii="Calibri" w:hAnsi="Calibri"/>
          <w:color w:val="171721"/>
          <w:sz w:val="22"/>
        </w:rPr>
        <w:t xml:space="preserve"> protegida por RLS.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Bucket público </w:t>
      </w:r>
      <w:r>
        <w:rPr>
          <w:rFonts w:ascii="Consolas" w:hAnsi="Consolas"/>
          <w:color w:val="3B187C"/>
          <w:sz w:val="19"/>
        </w:rPr>
        <w:t>avatars</w:t>
      </w:r>
      <w:r>
        <w:rPr>
          <w:rFonts w:ascii="Calibri" w:hAnsi="Calibri"/>
          <w:color w:val="171721"/>
          <w:sz w:val="22"/>
        </w:rPr>
        <w:t>, com upload limitado a JPG, PNG ou WebP de até 2 MB.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Cada usuário só pode enviar, substituir ou remover o avatar da própria pasta.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Edição de nome, empresa e telefone.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Troca de senha com confirmação da senha atual.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2. Passo a passo para cadastrar uma conta por e-mail</w:t>
      </w:r>
    </w:p>
    <w:p>
      <w:pPr>
        <w:pStyle w:val="Heading2"/>
      </w:pPr>
      <w:r>
        <w:rPr>
          <w:rFonts w:ascii="Calibri" w:hAnsi="Calibri"/>
          <w:color w:val="171721"/>
          <w:sz w:val="22"/>
        </w:rPr>
        <w:t>Preparar o projeto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Abra a pasta </w:t>
      </w:r>
      <w:r>
        <w:rPr>
          <w:rFonts w:ascii="Consolas" w:hAnsi="Consolas"/>
          <w:color w:val="3B187C"/>
          <w:sz w:val="19"/>
        </w:rPr>
        <w:t>HCP - site</w:t>
      </w:r>
      <w:r>
        <w:rPr>
          <w:rFonts w:ascii="Calibri" w:hAnsi="Calibri"/>
          <w:color w:val="171721"/>
          <w:sz w:val="22"/>
        </w:rPr>
        <w:t xml:space="preserve"> no VS Code.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Instale ou use a extensão Live Server.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Abra </w:t>
      </w:r>
      <w:r>
        <w:rPr>
          <w:rFonts w:ascii="Consolas" w:hAnsi="Consolas"/>
          <w:color w:val="3B187C"/>
          <w:sz w:val="19"/>
        </w:rPr>
        <w:t>html/login.html</w:t>
      </w:r>
      <w:r>
        <w:rPr>
          <w:rFonts w:ascii="Calibri" w:hAnsi="Calibri"/>
          <w:color w:val="171721"/>
          <w:sz w:val="22"/>
        </w:rPr>
        <w:t xml:space="preserve"> com o Live Server. Evite abrir o arquivo diretamente com </w:t>
      </w:r>
      <w:r>
        <w:rPr>
          <w:rFonts w:ascii="Consolas" w:hAnsi="Consolas"/>
          <w:color w:val="3B187C"/>
          <w:sz w:val="19"/>
        </w:rPr>
        <w:t>file://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No Supabase, abra </w:t>
      </w:r>
      <w:r>
        <w:rPr>
          <w:rFonts w:ascii="Calibri" w:hAnsi="Calibri"/>
          <w:b/>
          <w:color w:val="171721"/>
          <w:sz w:val="22"/>
        </w:rPr>
        <w:t>Authentication -&gt; URL Configuration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Cadastre a URL usada pelo Live Server, por exemplo: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3B187C"/>
          <w:sz w:val="19"/>
        </w:rPr>
        <w:t>http://127.0.0.1:5500/html/login.html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3B187C"/>
          <w:sz w:val="19"/>
        </w:rPr>
        <w:t>http://localhost:5500/html/login.html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Em produção, adicione também a URL definitiva do login.</w:t>
      </w:r>
    </w:p>
    <w:p>
      <w:pPr>
        <w:pStyle w:val="Heading2"/>
      </w:pPr>
      <w:r>
        <w:rPr>
          <w:rFonts w:ascii="Calibri" w:hAnsi="Calibri"/>
          <w:color w:val="171721"/>
          <w:sz w:val="22"/>
        </w:rPr>
        <w:t>Criar e confirmar a conta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Na tela de login, clique em </w:t>
      </w:r>
      <w:r>
        <w:rPr>
          <w:rFonts w:ascii="Calibri" w:hAnsi="Calibri"/>
          <w:b/>
          <w:color w:val="171721"/>
          <w:sz w:val="22"/>
        </w:rPr>
        <w:t>Crie uma conta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Informe nome completo, e-mail e uma senha com pelo menos 8 caracteres.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Clique em </w:t>
      </w:r>
      <w:r>
        <w:rPr>
          <w:rFonts w:ascii="Calibri" w:hAnsi="Calibri"/>
          <w:b/>
          <w:color w:val="171721"/>
          <w:sz w:val="22"/>
        </w:rPr>
        <w:t>Criar conta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Abra a caixa de entrada do e-mail informado.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Clique no link de confirmação enviado pelo Supabase.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Volte ao login, informe e-mail e senha e clique em </w:t>
      </w:r>
      <w:r>
        <w:rPr>
          <w:rFonts w:ascii="Calibri" w:hAnsi="Calibri"/>
          <w:b/>
          <w:color w:val="171721"/>
          <w:sz w:val="22"/>
        </w:rPr>
        <w:t>Entrar agora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O usuário será levado automaticamente ao painel.</w:t>
      </w:r>
    </w:p>
    <w:p>
      <w:r>
        <w:rPr>
          <w:rFonts w:ascii="Calibri" w:hAnsi="Calibri"/>
          <w:color w:val="171721"/>
          <w:sz w:val="22"/>
        </w:rPr>
        <w:t xml:space="preserve">Se a confirmação não chegar, verifique spam, URLs de redirecionamento, logs de Auth e limites de envio. Para usuários reais, configure um SMTP próprio em </w:t>
      </w:r>
      <w:r>
        <w:rPr>
          <w:rFonts w:ascii="Calibri" w:hAnsi="Calibri"/>
          <w:b/>
          <w:color w:val="171721"/>
          <w:sz w:val="22"/>
        </w:rPr>
        <w:t>Authentication -&gt; Emails -&gt; SMTP Settings</w:t>
      </w:r>
      <w:r>
        <w:rPr>
          <w:rFonts w:ascii="Calibri" w:hAnsi="Calibri"/>
          <w:color w:val="171721"/>
          <w:sz w:val="22"/>
        </w:rPr>
        <w:t>. O SMTP padrão é apropriado apenas para testes limitados.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3. Perfil, foto e senha</w:t>
      </w:r>
    </w:p>
    <w:p>
      <w:pPr>
        <w:pStyle w:val="Heading2"/>
      </w:pPr>
      <w:r>
        <w:rPr>
          <w:rFonts w:ascii="Calibri" w:hAnsi="Calibri"/>
          <w:color w:val="171721"/>
          <w:sz w:val="22"/>
        </w:rPr>
        <w:t>Editar a conta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Entre no HCP.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Abra </w:t>
      </w:r>
      <w:r>
        <w:rPr>
          <w:rFonts w:ascii="Calibri" w:hAnsi="Calibri"/>
          <w:b/>
          <w:color w:val="171721"/>
          <w:sz w:val="22"/>
        </w:rPr>
        <w:t>Minha conta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Edite nome completo, empresa e telefone.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Clique em </w:t>
      </w:r>
      <w:r>
        <w:rPr>
          <w:rFonts w:ascii="Calibri" w:hAnsi="Calibri"/>
          <w:b/>
          <w:color w:val="171721"/>
          <w:sz w:val="22"/>
        </w:rPr>
        <w:t>Salvar alterações</w:t>
      </w:r>
      <w:r>
        <w:rPr>
          <w:rFonts w:ascii="Calibri" w:hAnsi="Calibri"/>
          <w:color w:val="171721"/>
          <w:sz w:val="22"/>
        </w:rPr>
        <w:t>.</w:t>
      </w:r>
    </w:p>
    <w:p>
      <w:r>
        <w:rPr>
          <w:rFonts w:ascii="Calibri" w:hAnsi="Calibri"/>
          <w:color w:val="171721"/>
          <w:sz w:val="22"/>
        </w:rPr>
        <w:t>O e-mail aparece como somente leitura. Alterar o e-mail exige um fluxo separado de confirmação no Supabase.</w:t>
      </w:r>
    </w:p>
    <w:p>
      <w:pPr>
        <w:pStyle w:val="Heading2"/>
      </w:pPr>
      <w:r>
        <w:rPr>
          <w:rFonts w:ascii="Calibri" w:hAnsi="Calibri"/>
          <w:color w:val="171721"/>
          <w:sz w:val="22"/>
        </w:rPr>
        <w:t>Alterar a foto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Clique em </w:t>
      </w:r>
      <w:r>
        <w:rPr>
          <w:rFonts w:ascii="Calibri" w:hAnsi="Calibri"/>
          <w:b/>
          <w:color w:val="171721"/>
          <w:sz w:val="22"/>
        </w:rPr>
        <w:t>Alterar foto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Escolha uma imagem JPG, PNG ou WebP de até 2 MB.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Aguarde a confirmação do upload.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Para voltar às iniciais, clique em </w:t>
      </w:r>
      <w:r>
        <w:rPr>
          <w:rFonts w:ascii="Calibri" w:hAnsi="Calibri"/>
          <w:b/>
          <w:color w:val="171721"/>
          <w:sz w:val="22"/>
        </w:rPr>
        <w:t>Remover foto</w:t>
      </w:r>
      <w:r>
        <w:rPr>
          <w:rFonts w:ascii="Calibri" w:hAnsi="Calibri"/>
          <w:color w:val="171721"/>
          <w:sz w:val="22"/>
        </w:rPr>
        <w:t>.</w:t>
      </w:r>
    </w:p>
    <w:p>
      <w:r>
        <w:rPr>
          <w:rFonts w:ascii="Calibri" w:hAnsi="Calibri"/>
          <w:color w:val="171721"/>
          <w:sz w:val="22"/>
        </w:rPr>
        <w:t>Sem uma foto escolhida, o HCP combina a primeira letra do primeiro e do último nome e mostra as duas iniciais sobre um fundo roxo sólido.</w:t>
      </w:r>
    </w:p>
    <w:p>
      <w:pPr>
        <w:pStyle w:val="Heading2"/>
      </w:pPr>
      <w:r>
        <w:rPr>
          <w:rFonts w:ascii="Calibri" w:hAnsi="Calibri"/>
          <w:color w:val="171721"/>
          <w:sz w:val="22"/>
        </w:rPr>
        <w:t>Alterar a senha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Informe a senha atual.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Digite uma nova senha com pelo menos 8 caracteres.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Repita a nova senha.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Clique em </w:t>
      </w:r>
      <w:r>
        <w:rPr>
          <w:rFonts w:ascii="Calibri" w:hAnsi="Calibri"/>
          <w:b/>
          <w:color w:val="171721"/>
          <w:sz w:val="22"/>
        </w:rPr>
        <w:t>Atualizar senha</w:t>
      </w:r>
      <w:r>
        <w:rPr>
          <w:rFonts w:ascii="Calibri" w:hAnsi="Calibri"/>
          <w:color w:val="171721"/>
          <w:sz w:val="22"/>
        </w:rPr>
        <w:t>.</w:t>
      </w:r>
    </w:p>
    <w:p>
      <w:r>
        <w:rPr>
          <w:rFonts w:ascii="Calibri" w:hAnsi="Calibri"/>
          <w:color w:val="171721"/>
          <w:sz w:val="22"/>
        </w:rPr>
        <w:t xml:space="preserve">Se a conta foi criada somente pelo Google e ainda não possui senha, use </w:t>
      </w:r>
      <w:r>
        <w:rPr>
          <w:rFonts w:ascii="Calibri" w:hAnsi="Calibri"/>
          <w:b/>
          <w:color w:val="171721"/>
          <w:sz w:val="22"/>
        </w:rPr>
        <w:t>Esqueceu a senha?</w:t>
      </w:r>
      <w:r>
        <w:rPr>
          <w:rFonts w:ascii="Calibri" w:hAnsi="Calibri"/>
          <w:color w:val="171721"/>
          <w:sz w:val="22"/>
        </w:rPr>
        <w:t xml:space="preserve"> na tela de login para criar uma.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4. Entenda quais chaves podem aparecer no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440"/>
        <w:gridCol w:w="1440"/>
        <w:gridCol w:w="3600"/>
      </w:tblGrid>
      <w:tr>
        <w:trPr>
          <w:tblHeader w:val="true"/>
        </w:trPr>
        <w:tc>
          <w:tcPr>
            <w:tcW w:type="dxa" w:w="2880"/>
            <w:shd w:fill="EDE4FF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3B187C"/>
                <w:sz w:val="20"/>
              </w:rPr>
              <w:t>Tipo de credencial</w:t>
            </w:r>
          </w:p>
        </w:tc>
        <w:tc>
          <w:tcPr>
            <w:tcW w:type="dxa" w:w="1440"/>
            <w:shd w:fill="EDE4FF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3B187C"/>
                <w:sz w:val="20"/>
              </w:rPr>
              <w:t>Pode ir para o navegador?</w:t>
            </w:r>
          </w:p>
        </w:tc>
        <w:tc>
          <w:tcPr>
            <w:tcW w:type="dxa" w:w="1440"/>
            <w:shd w:fill="EDE4FF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3B187C"/>
                <w:sz w:val="20"/>
              </w:rPr>
              <w:t>Pode ir para o GitHub?</w:t>
            </w:r>
          </w:p>
        </w:tc>
        <w:tc>
          <w:tcPr>
            <w:tcW w:type="dxa" w:w="3600"/>
            <w:shd w:fill="EDE4FF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3B187C"/>
                <w:sz w:val="20"/>
              </w:rPr>
              <w:t>Onde guardar</w:t>
            </w:r>
          </w:p>
        </w:tc>
      </w:tr>
      <w:tr>
        <w:trPr/>
        <w:tc>
          <w:tcPr>
            <w:tcW w:type="dxa" w:w="288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Supabase publishable key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Sim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Sim</w:t>
            </w:r>
          </w:p>
        </w:tc>
        <w:tc>
          <w:tcPr>
            <w:tcW w:type="dxa" w:w="360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Configuração do cliente web</w:t>
            </w:r>
          </w:p>
        </w:tc>
      </w:tr>
      <w:tr>
        <w:trPr/>
        <w:tc>
          <w:tcPr>
            <w:tcW w:type="dxa" w:w="288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Supabase anon key legado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Sim, com RLS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Evite em projetos novos</w:t>
            </w:r>
          </w:p>
        </w:tc>
        <w:tc>
          <w:tcPr>
            <w:tcW w:type="dxa" w:w="360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Configuração do cliente web</w:t>
            </w:r>
          </w:p>
        </w:tc>
      </w:tr>
      <w:tr>
        <w:trPr/>
        <w:tc>
          <w:tcPr>
            <w:tcW w:type="dxa" w:w="288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Supabase secret key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Não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Não</w:t>
            </w:r>
          </w:p>
        </w:tc>
        <w:tc>
          <w:tcPr>
            <w:tcW w:type="dxa" w:w="360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Servidor ou segredo de Edge Function</w:t>
            </w:r>
          </w:p>
        </w:tc>
      </w:tr>
      <w:tr>
        <w:trPr/>
        <w:tc>
          <w:tcPr>
            <w:tcW w:type="dxa" w:w="288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Supabase service_role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Não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Não</w:t>
            </w:r>
          </w:p>
        </w:tc>
        <w:tc>
          <w:tcPr>
            <w:tcW w:type="dxa" w:w="360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Servidor confiável</w:t>
            </w:r>
          </w:p>
        </w:tc>
      </w:tr>
      <w:tr>
        <w:trPr/>
        <w:tc>
          <w:tcPr>
            <w:tcW w:type="dxa" w:w="288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API key secreta de terceiros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Não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Não</w:t>
            </w:r>
          </w:p>
        </w:tc>
        <w:tc>
          <w:tcPr>
            <w:tcW w:type="dxa" w:w="360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Servidor ou segredo de Edge Function</w:t>
            </w:r>
          </w:p>
        </w:tc>
      </w:tr>
      <w:tr>
        <w:trPr/>
        <w:tc>
          <w:tcPr>
            <w:tcW w:type="dxa" w:w="288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Chave pública de mapas ou analytics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Depende</w:t>
            </w:r>
          </w:p>
        </w:tc>
        <w:tc>
          <w:tcPr>
            <w:tcW w:type="dxa" w:w="144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Somente com restrições</w:t>
            </w:r>
          </w:p>
        </w:tc>
        <w:tc>
          <w:tcPr>
            <w:tcW w:type="dxa" w:w="3600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  <w:insideH w:val="single" w:sz="4" w:color="D9D9E3"/>
              <w:insideV w:val="single" w:sz="4" w:color="D9D9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9"/>
              </w:rPr>
            </w:r>
            <w:r>
              <w:rPr>
                <w:rFonts w:ascii="Calibri" w:hAnsi="Calibri"/>
                <w:color w:val="171721"/>
                <w:sz w:val="19"/>
              </w:rPr>
              <w:t>Frontend, limitada por domínio e cota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71721"/>
          <w:sz w:val="22"/>
        </w:rPr>
        <w:t xml:space="preserve">Regra prática: tudo que está em HTML, CSS ou JavaScript entregue ao navegador é público. Em um site estático, um arquivo </w:t>
      </w:r>
      <w:r>
        <w:rPr>
          <w:rFonts w:ascii="Consolas" w:hAnsi="Consolas"/>
          <w:color w:val="3B187C"/>
          <w:sz w:val="19"/>
        </w:rPr>
        <w:t>.env</w:t>
      </w:r>
      <w:r>
        <w:rPr>
          <w:rFonts w:ascii="Calibri" w:hAnsi="Calibri"/>
          <w:color w:val="171721"/>
          <w:sz w:val="22"/>
        </w:rPr>
        <w:t xml:space="preserve"> não transforma uma chave secreta em privada se o valor terminar dentro do JavaScript publicado.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5. Como escolher a arquitetura de uma nova API</w:t>
      </w:r>
    </w:p>
    <w:p>
      <w:pPr>
        <w:pStyle w:val="Heading2"/>
      </w:pPr>
      <w:r>
        <w:rPr>
          <w:rFonts w:ascii="Calibri" w:hAnsi="Calibri"/>
          <w:color w:val="171721"/>
          <w:sz w:val="22"/>
        </w:rPr>
        <w:t>Caso A - API pública, sem segredo</w:t>
      </w:r>
    </w:p>
    <w:p>
      <w:r>
        <w:rPr>
          <w:rFonts w:ascii="Calibri" w:hAnsi="Calibri"/>
          <w:color w:val="171721"/>
          <w:sz w:val="22"/>
        </w:rPr>
        <w:t>Use o frontend diretamente somente quando a documentação do provedor disser que a chave é publicável.</w:t>
      </w:r>
    </w:p>
    <w:p>
      <w:r>
        <w:rPr>
          <w:rFonts w:ascii="Calibri" w:hAnsi="Calibri"/>
          <w:color w:val="171721"/>
          <w:sz w:val="22"/>
        </w:rPr>
        <w:t>Checklist: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Restrinja a chave aos domínios do HCP.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Defina cotas e alertas de consumo.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Confirme que a API permite chamadas do navegador e possui CORS adequado.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Não conceda permissões administrativas.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Teste o comportamento quando a cota terminar.</w:t>
      </w:r>
    </w:p>
    <w:p>
      <w:pPr>
        <w:pStyle w:val="Heading2"/>
      </w:pPr>
      <w:r>
        <w:rPr>
          <w:rFonts w:ascii="Calibri" w:hAnsi="Calibri"/>
          <w:color w:val="171721"/>
          <w:sz w:val="22"/>
        </w:rPr>
        <w:t>Caso B - API com chave secreta</w:t>
      </w:r>
    </w:p>
    <w:p>
      <w:r>
        <w:rPr>
          <w:rFonts w:ascii="Calibri" w:hAnsi="Calibri"/>
          <w:color w:val="171721"/>
          <w:sz w:val="22"/>
        </w:rPr>
        <w:t>Use uma Supabase Edge Function como intermediária: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/>
          <w:color w:val="3B187C"/>
          <w:sz w:val="19"/>
        </w:rPr>
        <w:t>Navegador → Edge Function autenticada → API externa</w:t>
      </w:r>
    </w:p>
    <w:p>
      <w:r>
        <w:rPr>
          <w:rFonts w:ascii="Calibri" w:hAnsi="Calibri"/>
          <w:color w:val="171721"/>
          <w:sz w:val="22"/>
        </w:rPr>
        <w:t>Passos: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Crie uma função com um nome específico, como </w:t>
      </w:r>
      <w:r>
        <w:rPr>
          <w:rFonts w:ascii="Consolas" w:hAnsi="Consolas"/>
          <w:color w:val="3B187C"/>
          <w:sz w:val="19"/>
        </w:rPr>
        <w:t>consultar-provedor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Mantenha a validação JWT habilitada.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Cadastre a chave secreta no painel do Supabase ou com a CLI: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/>
          <w:color w:val="3B187C"/>
          <w:sz w:val="19"/>
        </w:rPr>
        <w:t>supabase secrets set PROVIDER_API_KEY=valor-da-chave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Leia a chave dentro da função com </w:t>
      </w:r>
      <w:r>
        <w:rPr>
          <w:rFonts w:ascii="Consolas" w:hAnsi="Consolas"/>
          <w:color w:val="3B187C"/>
          <w:sz w:val="19"/>
        </w:rPr>
        <w:t>Deno.env.get('PROVIDER_API_KEY')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Valide os campos recebidos e rejeite requisições inválidas.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Aplique timeout, limite de tamanho, tratamento de erros e rate limit.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Retorne ao navegador somente os dados necessários.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Chame a função pelo cliente Supabase: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/>
          <w:color w:val="3B187C"/>
          <w:sz w:val="19"/>
        </w:rPr>
        <w:t>supabase.functions.invoke('consultar-provedor', { body: { consulta } })</w:t>
      </w:r>
    </w:p>
    <w:p>
      <w:r>
        <w:rPr>
          <w:rFonts w:ascii="Calibri" w:hAnsi="Calibri"/>
          <w:color w:val="171721"/>
          <w:sz w:val="22"/>
        </w:rPr>
        <w:t>Nunca envie a chave secreta no corpo da requisição, na URL, em mensagens de erro ou no console do navegador.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6. Banco de dados e RLS para integrações</w:t>
      </w:r>
    </w:p>
    <w:p>
      <w:r>
        <w:rPr>
          <w:rFonts w:ascii="Calibri" w:hAnsi="Calibri"/>
          <w:color w:val="171721"/>
          <w:sz w:val="22"/>
        </w:rPr>
        <w:t>Quando a API precisar salvar dados: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Crie uma tabela no schema </w:t>
      </w:r>
      <w:r>
        <w:rPr>
          <w:rFonts w:ascii="Consolas" w:hAnsi="Consolas"/>
          <w:color w:val="3B187C"/>
          <w:sz w:val="19"/>
        </w:rPr>
        <w:t>public</w:t>
      </w:r>
      <w:r>
        <w:rPr>
          <w:rFonts w:ascii="Calibri" w:hAnsi="Calibri"/>
          <w:color w:val="171721"/>
          <w:sz w:val="22"/>
        </w:rPr>
        <w:t xml:space="preserve"> apenas se o frontend precisar acessá-la.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Adicione uma coluna </w:t>
      </w:r>
      <w:r>
        <w:rPr>
          <w:rFonts w:ascii="Consolas" w:hAnsi="Consolas"/>
          <w:color w:val="3B187C"/>
          <w:sz w:val="19"/>
        </w:rPr>
        <w:t>user_id</w:t>
      </w:r>
      <w:r>
        <w:rPr>
          <w:rFonts w:ascii="Calibri" w:hAnsi="Calibri"/>
          <w:color w:val="171721"/>
          <w:sz w:val="22"/>
        </w:rPr>
        <w:t xml:space="preserve"> referenciando </w:t>
      </w:r>
      <w:r>
        <w:rPr>
          <w:rFonts w:ascii="Consolas" w:hAnsi="Consolas"/>
          <w:color w:val="3B187C"/>
          <w:sz w:val="19"/>
        </w:rPr>
        <w:t>auth.users(id)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Habilite RLS.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Crie políticas com </w:t>
      </w:r>
      <w:r>
        <w:rPr>
          <w:rFonts w:ascii="Consolas" w:hAnsi="Consolas"/>
          <w:color w:val="3B187C"/>
          <w:sz w:val="19"/>
        </w:rPr>
        <w:t>TO authenticated</w:t>
      </w:r>
      <w:r>
        <w:rPr>
          <w:rFonts w:ascii="Calibri" w:hAnsi="Calibri"/>
          <w:color w:val="171721"/>
          <w:sz w:val="22"/>
        </w:rPr>
        <w:t xml:space="preserve"> e verificação de propriedade: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/>
          <w:color w:val="3B187C"/>
          <w:sz w:val="19"/>
        </w:rPr>
        <w:t>using ((select auth.uid()) = user_id)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Para atualização, use </w:t>
      </w:r>
      <w:r>
        <w:rPr>
          <w:rFonts w:ascii="Consolas" w:hAnsi="Consolas"/>
          <w:color w:val="3B187C"/>
          <w:sz w:val="19"/>
        </w:rPr>
        <w:t>USING</w:t>
      </w:r>
      <w:r>
        <w:rPr>
          <w:rFonts w:ascii="Calibri" w:hAnsi="Calibri"/>
          <w:color w:val="171721"/>
          <w:sz w:val="22"/>
        </w:rPr>
        <w:t xml:space="preserve"> e </w:t>
      </w:r>
      <w:r>
        <w:rPr>
          <w:rFonts w:ascii="Consolas" w:hAnsi="Consolas"/>
          <w:color w:val="3B187C"/>
          <w:sz w:val="19"/>
        </w:rPr>
        <w:t>WITH CHECK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Conceda somente </w:t>
      </w:r>
      <w:r>
        <w:rPr>
          <w:rFonts w:ascii="Consolas" w:hAnsi="Consolas"/>
          <w:color w:val="3B187C"/>
          <w:sz w:val="19"/>
        </w:rPr>
        <w:t>SELECT</w:t>
      </w:r>
      <w:r>
        <w:rPr>
          <w:rFonts w:ascii="Calibri" w:hAnsi="Calibri"/>
          <w:color w:val="171721"/>
          <w:sz w:val="22"/>
        </w:rPr>
        <w:t xml:space="preserve">, </w:t>
      </w:r>
      <w:r>
        <w:rPr>
          <w:rFonts w:ascii="Consolas" w:hAnsi="Consolas"/>
          <w:color w:val="3B187C"/>
          <w:sz w:val="19"/>
        </w:rPr>
        <w:t>INSERT</w:t>
      </w:r>
      <w:r>
        <w:rPr>
          <w:rFonts w:ascii="Calibri" w:hAnsi="Calibri"/>
          <w:color w:val="171721"/>
          <w:sz w:val="22"/>
        </w:rPr>
        <w:t xml:space="preserve">, </w:t>
      </w:r>
      <w:r>
        <w:rPr>
          <w:rFonts w:ascii="Consolas" w:hAnsi="Consolas"/>
          <w:color w:val="3B187C"/>
          <w:sz w:val="19"/>
        </w:rPr>
        <w:t>UPDATE</w:t>
      </w:r>
      <w:r>
        <w:rPr>
          <w:rFonts w:ascii="Calibri" w:hAnsi="Calibri"/>
          <w:color w:val="171721"/>
          <w:sz w:val="22"/>
        </w:rPr>
        <w:t xml:space="preserve"> ou </w:t>
      </w:r>
      <w:r>
        <w:rPr>
          <w:rFonts w:ascii="Consolas" w:hAnsi="Consolas"/>
          <w:color w:val="3B187C"/>
          <w:sz w:val="19"/>
        </w:rPr>
        <w:t>DELETE</w:t>
      </w:r>
      <w:r>
        <w:rPr>
          <w:rFonts w:ascii="Calibri" w:hAnsi="Calibri"/>
          <w:color w:val="171721"/>
          <w:sz w:val="22"/>
        </w:rPr>
        <w:t xml:space="preserve"> realmente necessários.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Rode os Security e Performance Advisors depois de mudanças no schema.</w:t>
      </w:r>
    </w:p>
    <w:p>
      <w:r>
        <w:rPr>
          <w:rFonts w:ascii="Calibri" w:hAnsi="Calibri"/>
          <w:color w:val="171721"/>
          <w:sz w:val="22"/>
        </w:rPr>
        <w:t xml:space="preserve">Nunca use </w:t>
      </w:r>
      <w:r>
        <w:rPr>
          <w:rFonts w:ascii="Consolas" w:hAnsi="Consolas"/>
          <w:color w:val="3B187C"/>
          <w:sz w:val="19"/>
        </w:rPr>
        <w:t>user_metadata</w:t>
      </w:r>
      <w:r>
        <w:rPr>
          <w:rFonts w:ascii="Calibri" w:hAnsi="Calibri"/>
          <w:color w:val="171721"/>
          <w:sz w:val="22"/>
        </w:rPr>
        <w:t xml:space="preserve"> como autorização. Dados editáveis pelo próprio usuário servem para apresentação, não para decidir permissões.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7. Webhooks</w:t>
      </w:r>
    </w:p>
    <w:p>
      <w:r>
        <w:rPr>
          <w:rFonts w:ascii="Calibri" w:hAnsi="Calibri"/>
          <w:color w:val="171721"/>
          <w:sz w:val="22"/>
        </w:rPr>
        <w:t>Webhooks são chamadas feitas pelo provedor para o HCP. Eles precisam de uma função pública, mas autenticada pela assinatura do próprio provedor.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Crie uma Edge Function exclusiva para o webhook.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Guarde o segredo de assinatura como segredo da função.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Valide a assinatura antes de processar o corpo.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Registre um identificador único do evento para evitar processamento duplicado.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Responda rapidamente e processe tarefas demoradas de forma assíncrona.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Não registre tokens, senhas ou o corpo completo se houver dados sensíveis.</w:t>
      </w:r>
    </w:p>
    <w:p>
      <w:r>
        <w:rPr>
          <w:rFonts w:ascii="Calibri" w:hAnsi="Calibri"/>
          <w:color w:val="171721"/>
          <w:sz w:val="22"/>
        </w:rPr>
        <w:t>Desabilite a validação JWT da função somente quando o provedor não puder enviar o JWT do Supabase e a função validar corretamente a assinatura do webhook.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8. GitHub e controle de segredos</w:t>
      </w:r>
    </w:p>
    <w:p>
      <w:r>
        <w:rPr>
          <w:rFonts w:ascii="Calibri" w:hAnsi="Calibri"/>
          <w:color w:val="171721"/>
          <w:sz w:val="22"/>
        </w:rPr>
        <w:t>Arquivos que podem ser versionados: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SQL de schema e políticas.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Código de Edge Functions sem valores secretos.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3B187C"/>
          <w:sz w:val="19"/>
        </w:rPr>
        <w:t>.env.example</w:t>
      </w:r>
      <w:r>
        <w:rPr>
          <w:rFonts w:ascii="Calibri" w:hAnsi="Calibri"/>
          <w:color w:val="171721"/>
          <w:sz w:val="22"/>
        </w:rPr>
        <w:t xml:space="preserve"> contendo apenas nomes e valores fictícios.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Documentação de configuração.</w:t>
      </w:r>
    </w:p>
    <w:p>
      <w:r>
        <w:rPr>
          <w:rFonts w:ascii="Calibri" w:hAnsi="Calibri"/>
          <w:color w:val="171721"/>
          <w:sz w:val="22"/>
        </w:rPr>
        <w:t>Arquivos e valores que não devem ser versionados: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3B187C"/>
          <w:sz w:val="19"/>
        </w:rPr>
        <w:t>.env</w:t>
      </w:r>
      <w:r>
        <w:rPr>
          <w:rFonts w:ascii="Calibri" w:hAnsi="Calibri"/>
          <w:color w:val="171721"/>
          <w:sz w:val="22"/>
        </w:rPr>
        <w:t xml:space="preserve"> real.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Chaves </w:t>
      </w:r>
      <w:r>
        <w:rPr>
          <w:rFonts w:ascii="Consolas" w:hAnsi="Consolas"/>
          <w:color w:val="3B187C"/>
          <w:sz w:val="19"/>
        </w:rPr>
        <w:t>secret</w:t>
      </w:r>
      <w:r>
        <w:rPr>
          <w:rFonts w:ascii="Calibri" w:hAnsi="Calibri"/>
          <w:color w:val="171721"/>
          <w:sz w:val="22"/>
        </w:rPr>
        <w:t xml:space="preserve"> ou </w:t>
      </w:r>
      <w:r>
        <w:rPr>
          <w:rFonts w:ascii="Consolas" w:hAnsi="Consolas"/>
          <w:color w:val="3B187C"/>
          <w:sz w:val="19"/>
        </w:rPr>
        <w:t>service_role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Client Secret do Google.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Tokens pessoais do GitHub.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Segredos de webhook.</w:t>
      </w:r>
    </w:p>
    <w:p>
      <w:r>
        <w:rPr>
          <w:rFonts w:ascii="Calibri" w:hAnsi="Calibri"/>
          <w:color w:val="171721"/>
          <w:sz w:val="22"/>
        </w:rPr>
        <w:t>Antes de cada commit: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Rode </w:t>
      </w:r>
      <w:r>
        <w:rPr>
          <w:rFonts w:ascii="Consolas" w:hAnsi="Consolas"/>
          <w:color w:val="3B187C"/>
          <w:sz w:val="19"/>
        </w:rPr>
        <w:t>git diff</w:t>
      </w:r>
      <w:r>
        <w:rPr>
          <w:rFonts w:ascii="Calibri" w:hAnsi="Calibri"/>
          <w:color w:val="171721"/>
          <w:sz w:val="22"/>
        </w:rPr>
        <w:t xml:space="preserve"> e confira se nenhuma chave real apareceu.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Procure termos como </w:t>
      </w:r>
      <w:r>
        <w:rPr>
          <w:rFonts w:ascii="Consolas" w:hAnsi="Consolas"/>
          <w:color w:val="3B187C"/>
          <w:sz w:val="19"/>
        </w:rPr>
        <w:t>service_role</w:t>
      </w:r>
      <w:r>
        <w:rPr>
          <w:rFonts w:ascii="Calibri" w:hAnsi="Calibri"/>
          <w:color w:val="171721"/>
          <w:sz w:val="22"/>
        </w:rPr>
        <w:t xml:space="preserve">, </w:t>
      </w:r>
      <w:r>
        <w:rPr>
          <w:rFonts w:ascii="Consolas" w:hAnsi="Consolas"/>
          <w:color w:val="3B187C"/>
          <w:sz w:val="19"/>
        </w:rPr>
        <w:t>secret</w:t>
      </w:r>
      <w:r>
        <w:rPr>
          <w:rFonts w:ascii="Calibri" w:hAnsi="Calibri"/>
          <w:color w:val="171721"/>
          <w:sz w:val="22"/>
        </w:rPr>
        <w:t xml:space="preserve">, </w:t>
      </w:r>
      <w:r>
        <w:rPr>
          <w:rFonts w:ascii="Consolas" w:hAnsi="Consolas"/>
          <w:color w:val="3B187C"/>
          <w:sz w:val="19"/>
        </w:rPr>
        <w:t>token</w:t>
      </w:r>
      <w:r>
        <w:rPr>
          <w:rFonts w:ascii="Calibri" w:hAnsi="Calibri"/>
          <w:color w:val="171721"/>
          <w:sz w:val="22"/>
        </w:rPr>
        <w:t xml:space="preserve"> e </w:t>
      </w:r>
      <w:r>
        <w:rPr>
          <w:rFonts w:ascii="Consolas" w:hAnsi="Consolas"/>
          <w:color w:val="3B187C"/>
          <w:sz w:val="19"/>
        </w:rPr>
        <w:t>password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Confirme que arquivos </w:t>
      </w:r>
      <w:r>
        <w:rPr>
          <w:rFonts w:ascii="Consolas" w:hAnsi="Consolas"/>
          <w:color w:val="3B187C"/>
          <w:sz w:val="19"/>
        </w:rPr>
        <w:t>.env</w:t>
      </w:r>
      <w:r>
        <w:rPr>
          <w:rFonts w:ascii="Calibri" w:hAnsi="Calibri"/>
          <w:color w:val="171721"/>
          <w:sz w:val="22"/>
        </w:rPr>
        <w:t xml:space="preserve"> reais estão no </w:t>
      </w:r>
      <w:r>
        <w:rPr>
          <w:rFonts w:ascii="Consolas" w:hAnsi="Consolas"/>
          <w:color w:val="3B187C"/>
          <w:sz w:val="19"/>
        </w:rPr>
        <w:t>.gitignore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Rode testes e os Advisors do Supabase.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Use uma mensagem de commit que explique a integração.</w:t>
      </w:r>
    </w:p>
    <w:p>
      <w:r>
        <w:rPr>
          <w:rFonts w:ascii="Calibri" w:hAnsi="Calibri"/>
          <w:color w:val="171721"/>
          <w:sz w:val="22"/>
        </w:rPr>
        <w:t>Se um segredo for enviado ao GitHub por engano, removê-lo do arquivo não basta: revogue ou rotacione a credencial imediatamente.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9. Google Sign-In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Crie um cliente OAuth Web no Google Cloud Console.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Use a callback autorizada:</w:t>
      </w:r>
    </w:p>
    <w:p>
      <w:pPr>
        <w:spacing w:before="80" w:after="160"/>
        <w:ind w:left="360" w:right="360"/>
        <w:shd w:fill="F2F4F7"/>
      </w:pPr>
      <w:r>
        <w:rPr>
          <w:rFonts w:ascii="Consolas" w:hAnsi="Consolas"/>
          <w:color w:val="3B187C"/>
          <w:sz w:val="19"/>
        </w:rPr>
        <w:t>https://euxpmahouesimyyffcio.supabase.co/auth/v1/callback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No Supabase, abra </w:t>
      </w:r>
      <w:r>
        <w:rPr>
          <w:rFonts w:ascii="Calibri" w:hAnsi="Calibri"/>
          <w:b/>
          <w:color w:val="171721"/>
          <w:sz w:val="22"/>
        </w:rPr>
        <w:t>Authentication -&gt; Providers -&gt; Google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Ative o provedor e informe Client ID e Client Secret diretamente no painel.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Em </w:t>
      </w:r>
      <w:r>
        <w:rPr>
          <w:rFonts w:ascii="Calibri" w:hAnsi="Calibri"/>
          <w:b/>
          <w:color w:val="171721"/>
          <w:sz w:val="22"/>
        </w:rPr>
        <w:t>Authentication -&gt; URL Configuration</w:t>
      </w:r>
      <w:r>
        <w:rPr>
          <w:rFonts w:ascii="Calibri" w:hAnsi="Calibri"/>
          <w:color w:val="171721"/>
          <w:sz w:val="22"/>
        </w:rPr>
        <w:t>, adicione as URLs locais e de produção do login.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Nunca coloque o Client Secret no JavaScript ou no GitHub.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10. Checklist para qualquer nova API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Li a documentação oficial e identifiquei o tipo de autenticação.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Classifiquei a chave como pública ou secreta.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Defini se a chamada será feita no frontend ou em Edge Function.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Restrigi domínios, escopos, cotas e permissões.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Configurei segredos fora do repositório.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Validei entradas e tratei erros sem expor credenciais.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Criei RLS quando há dados de usuário.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Configurei assinatura e idempotência para webhooks.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Testei sucesso, falha, timeout e limite de cota.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 xml:space="preserve">[ ] Rodei Advisors e revisei </w:t>
      </w:r>
      <w:r>
        <w:rPr>
          <w:rFonts w:ascii="Consolas" w:hAnsi="Consolas"/>
          <w:color w:val="3B187C"/>
          <w:sz w:val="19"/>
        </w:rPr>
        <w:t>git diff</w:t>
      </w:r>
      <w:r>
        <w:rPr>
          <w:rFonts w:ascii="Calibri" w:hAnsi="Calibri"/>
          <w:color w:val="171721"/>
          <w:sz w:val="22"/>
        </w:rPr>
        <w:t>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[ ] Documentei como rotacionar e revogar as credenciais.</w:t>
      </w:r>
    </w:p>
    <w:p>
      <w:pPr>
        <w:pStyle w:val="Heading1"/>
      </w:pPr>
      <w:r>
        <w:rPr>
          <w:rFonts w:ascii="Calibri" w:hAnsi="Calibri"/>
          <w:color w:val="171721"/>
          <w:sz w:val="22"/>
        </w:rPr>
        <w:t>11. Links oficiais úteis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Auth por senha: https://supabase.com/docs/guides/auth/passwords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URLs de redirecionamento: https://supabase.com/docs/guides/auth/redirect-urls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SMTP: https://supabase.com/docs/guides/auth/auth-smtp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API keys: https://supabase.com/docs/guides/api/api-keys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RLS: https://supabase.com/docs/guides/database/postgres/row-level-security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Storage e políticas: https://supabase.com/docs/guides/storage/security/access-control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Edge Functions e segredos: https://supabase.com/docs/guides/functions/secrets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Google Auth: https://supabase.com/docs/guides/auth/social-login/auth-google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1721"/>
          <w:sz w:val="22"/>
        </w:rPr>
        <w:t>Checklist de produção: https://supabase.com/docs/guides/deployment/going-into-prod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8A"/>
        <w:sz w:val="18"/>
      </w:rPr>
      <w:t xml:space="preserve">HCP  •  Integrações e segurança     </w:t>
    </w:r>
    <w:r>
      <w:rPr>
        <w:rFonts w:ascii="Calibri" w:hAnsi="Calibri"/>
        <w:color w:val="77778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77778A"/>
        <w:sz w:val="18"/>
      </w:rPr>
      <w:t>HCP  |  Guia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17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5528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5528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B187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HCP: cadastro, chaves e integração de APIs</dc:title>
  <dc:subject>Autenticação, Supabase e integrações seguras</dc:subject>
  <dc:creator>HCP</dc:creator>
  <cp:keywords>HCP, Supabase, APIs, autenticação, segurança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