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RESENHA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Sobre os Critérios a Serem Usados na Decomposição de Sistemas em Módulos</w:t>
      </w:r>
    </w:p>
    <w:p>
      <w:pPr>
        <w:pBdr>
          <w:bottom w:val="single" w:color="2E74B5" w:sz="4" w:space="1"/>
        </w:pBdr>
        <w:spacing w:before="0" w:after="5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D. L. Parnas  •  Communications of the ACM, v. 15, n. 12, dez. 1972</w:t>
      </w:r>
    </w:p>
    <w:p>
      <w:pPr>
        <w:pStyle w:val="Heading1"/>
      </w:pPr>
      <w:r>
        <w:t xml:space="preserve">O problema que ninguém queria encarar</w:t>
      </w:r>
    </w:p>
    <w:p>
      <w:pPr>
        <w:spacing w:before="0" w:after="220"/>
        <w:jc w:val="both"/>
      </w:pPr>
      <w:r>
        <w:rPr>
          <w:rFonts w:ascii="Arial" w:cs="Arial" w:eastAsia="Arial" w:hAnsi="Arial"/>
          <w:sz w:val="24"/>
          <w:szCs w:val="24"/>
        </w:rPr>
        <w:t xml:space="preserve">Em 1972, todo mundo concordava que dividir um sistema em módulos era uma boa ideia. O problema é que ninguém explicava direito como fazer isso. Parnas percebeu essa lacuna e decidiu enfrentá-la de frente: e se o critério que estamos usando para modularizar sistemas estiver errado desde o começo?</w:t>
      </w:r>
    </w:p>
    <w:p>
      <w:pPr>
        <w:spacing w:before="0" w:after="220"/>
        <w:jc w:val="both"/>
      </w:pPr>
      <w:r>
        <w:rPr>
          <w:rFonts w:ascii="Arial" w:cs="Arial" w:eastAsia="Arial" w:hAnsi="Arial"/>
          <w:sz w:val="24"/>
          <w:szCs w:val="24"/>
        </w:rPr>
        <w:t xml:space="preserve">A resposta que ele dá neste artigo é simples de enunciar, mas poderosa nas consequências: um módulo não deve representar uma etapa do processamento, mas sim esconder uma decisão de projeto das demais partes do sistema.</w:t>
      </w:r>
    </w:p>
    <w:p>
      <w:pPr>
        <w:pStyle w:val="Heading1"/>
      </w:pPr>
      <w:r>
        <w:t xml:space="preserve">Dois caminhos para o mesmo destino</w:t>
      </w:r>
    </w:p>
    <w:p>
      <w:pPr>
        <w:spacing w:before="0" w:after="220"/>
        <w:jc w:val="both"/>
      </w:pPr>
      <w:r>
        <w:rPr>
          <w:rFonts w:ascii="Arial" w:cs="Arial" w:eastAsia="Arial" w:hAnsi="Arial"/>
          <w:sz w:val="24"/>
          <w:szCs w:val="24"/>
        </w:rPr>
        <w:t xml:space="preserve">Para tornar o argumento concreto, Parnas usa um sistema de índice KWIC — um programa que pega linhas de texto, gera todas as rotações possíveis de cada uma e as exibe em ordem alfabética. É um exemplo pequeno, quase trivial, mas ele serve perfeitamente para o propósito.</w:t>
      </w:r>
    </w:p>
    <w:p>
      <w:pPr>
        <w:spacing w:before="0" w:after="220"/>
        <w:jc w:val="both"/>
      </w:pPr>
      <w:r>
        <w:rPr>
          <w:rFonts w:ascii="Arial" w:cs="Arial" w:eastAsia="Arial" w:hAnsi="Arial"/>
          <w:sz w:val="24"/>
          <w:szCs w:val="24"/>
        </w:rPr>
        <w:t xml:space="preserve">A primeira decomposição, que o autor chama de convencional, divide o sistema pelas etapas do fluxo: leitura, deslocamento circular, ordenação, saída. É exatamente o que a maioria dos programadores faria — afinal, é como nos ensinam a pensar desde o início.</w:t>
      </w:r>
    </w:p>
    <w:p>
      <w:pPr>
        <w:spacing w:before="0" w:after="220"/>
        <w:jc w:val="both"/>
      </w:pPr>
      <w:r>
        <w:rPr>
          <w:rFonts w:ascii="Arial" w:cs="Arial" w:eastAsia="Arial" w:hAnsi="Arial"/>
          <w:sz w:val="24"/>
          <w:szCs w:val="24"/>
        </w:rPr>
        <w:t xml:space="preserve">A segunda decomposição, baseada em ocultamento de informação, distribui responsabilidades de forma diferente: cada módulo existe para proteger uma decisão específica de design — como os dados são armazenados, como o deslocamento é calculado, como a ordenação acontece. O que está por dentro de cada módulo não vaza para os outros.</w:t>
      </w:r>
    </w:p>
    <w:p>
      <w:pPr>
        <w:spacing w:before="0" w:after="220"/>
        <w:jc w:val="both"/>
      </w:pPr>
      <w:r>
        <w:rPr>
          <w:rFonts w:ascii="Arial" w:cs="Arial" w:eastAsia="Arial" w:hAnsi="Arial"/>
          <w:sz w:val="24"/>
          <w:szCs w:val="24"/>
        </w:rPr>
        <w:t xml:space="preserve">O teste real vem quando Parnas simula mudanças no sistema — como alterar o formato de armazenamento das linhas ou a estratégia de alfabetização. Na primeira decomposição, uma única mudança se espalha por quase todos os módulos. Na segunda, fica contida em um só. A diferença é gritante.</w:t>
      </w:r>
    </w:p>
    <w:p>
      <w:pPr>
        <w:pStyle w:val="Heading1"/>
      </w:pPr>
      <w:r>
        <w:t xml:space="preserve">O que fica depois da leitura</w:t>
      </w:r>
    </w:p>
    <w:p>
      <w:pPr>
        <w:spacing w:before="0" w:after="220"/>
        <w:jc w:val="both"/>
      </w:pPr>
      <w:r>
        <w:rPr>
          <w:rFonts w:ascii="Arial" w:cs="Arial" w:eastAsia="Arial" w:hAnsi="Arial"/>
          <w:sz w:val="24"/>
          <w:szCs w:val="24"/>
        </w:rPr>
        <w:t xml:space="preserve">O artigo tem algumas limitações claras: o exemplo é pequeno demais para capturar a complexidade de sistemas reais, e o próprio Parnas admite que cometeu um erro de design na sua segunda decomposição — ao especificar a ordem dos deslocamentos circulares, revelou mais do que o necessário. Curiosamente, essa autocrítica é um dos pontos mais honestos e pedagogicamente ricos do texto.</w:t>
      </w:r>
    </w:p>
    <w:p>
      <w:pPr>
        <w:spacing w:before="0" w:after="220"/>
        <w:jc w:val="both"/>
      </w:pPr>
      <w:r>
        <w:rPr>
          <w:rFonts w:ascii="Arial" w:cs="Arial" w:eastAsia="Arial" w:hAnsi="Arial"/>
          <w:sz w:val="24"/>
          <w:szCs w:val="24"/>
        </w:rPr>
        <w:t xml:space="preserve">Mas o que fica, cinquenta anos depois, é a pergunta que o artigo nos ensina a fazer antes de qualquer decisão de design: o que este módulo está escondendo? Se a resposta for vaga ou inexistente, algo está errado. Encapsulamento, APIs bem definidas, microsserviços com contratos claros — tudo isso tem uma dívida não paga com as ideias deste artigo de seis páginas.</w:t>
      </w:r>
    </w:p>
    <w:p>
      <w:pPr>
        <w:spacing w:before="0" w:after="220"/>
        <w:jc w:val="both"/>
      </w:pPr>
      <w:r>
        <w:rPr>
          <w:rFonts w:ascii="Arial" w:cs="Arial" w:eastAsia="Arial" w:hAnsi="Arial"/>
          <w:sz w:val="24"/>
          <w:szCs w:val="24"/>
        </w:rPr>
        <w:t xml:space="preserve">Ler Parnas em 2024 é uma experiência estranha: o texto parece novo demais para ter mais de cinquenta anos, e ao mesmo tempo faz a gente perceber o quanto ainda ignoramos o básico quando dividimos sistemas em partes.</w:t>
      </w:r>
    </w:p>
    <w:p>
      <w:pPr>
        <w:pBdr>
          <w:top w:val="single" w:color="CCCCCC" w:sz="4" w:space="1"/>
        </w:pBdr>
        <w:spacing w:before="480"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Referência</w:t>
      </w:r>
    </w:p>
    <w:p>
      <w:pPr>
        <w:spacing w:before="0" w:after="0"/>
        <w:jc w:val="both"/>
      </w:pPr>
      <w:r>
        <w:rPr>
          <w:rFonts w:ascii="Arial" w:cs="Arial" w:eastAsia="Arial" w:hAnsi="Arial"/>
          <w:sz w:val="22"/>
          <w:szCs w:val="22"/>
        </w:rPr>
        <w:t xml:space="preserve">PARNAS, D. L. On the Criteria To Be Used in Decomposing Systems into Modules. Communications of the ACM, New York, v. 15, n. 12, p. 1053–1058, dez. 1972.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2026-03-24T01:54:59.283Z</dcterms:created>
  <dcterms:modified xsi:type="dcterms:W3CDTF">2026-03-24T01:54:59.284Z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