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77BC" w14:textId="77777777" w:rsidR="00BA7255" w:rsidRPr="00804A33" w:rsidRDefault="00E506FC">
      <w:pPr>
        <w:pStyle w:val="Body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</w:rPr>
        <w:t>Sharp</w:t>
      </w:r>
      <w:r w:rsidRPr="00804A33">
        <w:rPr>
          <w:rFonts w:ascii="Times" w:hAnsi="Times"/>
          <w:sz w:val="24"/>
          <w:szCs w:val="24"/>
          <w:lang w:val="zh-CN"/>
        </w:rPr>
        <w:t xml:space="preserve">e </w:t>
      </w:r>
      <w:r w:rsidRPr="00804A33">
        <w:rPr>
          <w:rFonts w:ascii="Times" w:hAnsi="Times"/>
          <w:sz w:val="24"/>
          <w:szCs w:val="24"/>
        </w:rPr>
        <w:t>Ratio (</w:t>
      </w:r>
      <w:r w:rsidRPr="00804A33">
        <w:rPr>
          <w:rFonts w:ascii="Times" w:hAnsi="Times"/>
          <w:sz w:val="24"/>
          <w:szCs w:val="24"/>
          <w:lang w:val="zh-CN"/>
        </w:rPr>
        <w:t>夏普比率）计算收益和风险比率</w:t>
      </w:r>
      <w:r w:rsidRPr="00804A33">
        <w:rPr>
          <w:rFonts w:ascii="Times" w:hAnsi="Times"/>
          <w:sz w:val="24"/>
          <w:szCs w:val="24"/>
          <w:lang w:val="zh-CN"/>
        </w:rPr>
        <w:t xml:space="preserve"> </w:t>
      </w:r>
      <w:r w:rsidRPr="00804A33">
        <w:rPr>
          <w:rFonts w:ascii="Times" w:hAnsi="Times"/>
          <w:sz w:val="24"/>
          <w:szCs w:val="24"/>
          <w:lang w:val="zh-CN"/>
        </w:rPr>
        <w:t>越高越好</w:t>
      </w:r>
      <w:r w:rsidRPr="00804A33">
        <w:rPr>
          <w:rFonts w:ascii="Times" w:hAnsi="Times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F934EA5" wp14:editId="313CE7FC">
            <wp:simplePos x="0" y="0"/>
            <wp:positionH relativeFrom="margin">
              <wp:posOffset>207010</wp:posOffset>
            </wp:positionH>
            <wp:positionV relativeFrom="line">
              <wp:posOffset>274320</wp:posOffset>
            </wp:positionV>
            <wp:extent cx="2971800" cy="8724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2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ED7536B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65A80DD4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7B2775AC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  <w:lang w:val="zh-CN"/>
        </w:rPr>
        <w:t xml:space="preserve">         </w:t>
      </w:r>
      <w:r w:rsidRPr="00804A33">
        <w:rPr>
          <w:rFonts w:ascii="Times" w:hAnsi="Times"/>
          <w:sz w:val="24"/>
          <w:szCs w:val="24"/>
          <w:lang w:val="zh-CN"/>
        </w:rPr>
        <w:t>（投资组合的预期报酬率</w:t>
      </w:r>
      <w:r w:rsidRPr="00804A33">
        <w:rPr>
          <w:rFonts w:ascii="Times" w:hAnsi="Times"/>
          <w:sz w:val="24"/>
          <w:szCs w:val="24"/>
          <w:lang w:val="zh-CN"/>
        </w:rPr>
        <w:t xml:space="preserve">- </w:t>
      </w:r>
      <w:r w:rsidRPr="00804A33">
        <w:rPr>
          <w:rFonts w:ascii="Times" w:hAnsi="Times"/>
          <w:sz w:val="24"/>
          <w:szCs w:val="24"/>
          <w:lang w:val="zh-CN"/>
        </w:rPr>
        <w:t>无风险利率）</w:t>
      </w:r>
      <w:r w:rsidRPr="00804A33">
        <w:rPr>
          <w:rFonts w:ascii="Times" w:hAnsi="Times"/>
          <w:sz w:val="24"/>
          <w:szCs w:val="24"/>
          <w:lang w:val="zh-CN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投资组合标准差</w:t>
      </w:r>
    </w:p>
    <w:p w14:paraId="33DA4AC3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5872D74E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48BABB94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3EBAFA5A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26232384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  <w:lang w:val="zh-CN"/>
        </w:rPr>
        <w:t>解释：每多承担一份风险，会有多少报酬。</w:t>
      </w:r>
    </w:p>
    <w:p w14:paraId="2D164A1C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  <w:lang w:val="zh-CN"/>
        </w:rPr>
        <w:t>代码实现</w:t>
      </w:r>
      <w:r w:rsidRPr="00804A33">
        <w:rPr>
          <w:rFonts w:ascii="Times" w:hAnsi="Times"/>
          <w:sz w:val="24"/>
          <w:szCs w:val="24"/>
        </w:rPr>
        <w:t>：</w:t>
      </w:r>
      <w:hyperlink r:id="rId8" w:history="1">
        <w:r w:rsidRPr="00804A33">
          <w:rPr>
            <w:rStyle w:val="Hyperlink0"/>
            <w:rFonts w:ascii="Times" w:hAnsi="Times"/>
            <w:sz w:val="24"/>
            <w:szCs w:val="24"/>
          </w:rPr>
          <w:t>https://blog.csdn.net/thfyshz/article/details/83443783</w:t>
        </w:r>
      </w:hyperlink>
    </w:p>
    <w:p w14:paraId="4B25CEC4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047A10B2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59DF27D2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</w:rPr>
        <w:t xml:space="preserve">2.  </w:t>
      </w:r>
      <w:r w:rsidRPr="00804A33">
        <w:rPr>
          <w:rFonts w:ascii="Times" w:hAnsi="Times"/>
          <w:sz w:val="24"/>
          <w:szCs w:val="24"/>
        </w:rPr>
        <w:t xml:space="preserve">Yield (Annualized </w:t>
      </w:r>
      <w:proofErr w:type="gramStart"/>
      <w:r w:rsidRPr="00804A33">
        <w:rPr>
          <w:rFonts w:ascii="Times" w:hAnsi="Times"/>
          <w:sz w:val="24"/>
          <w:szCs w:val="24"/>
        </w:rPr>
        <w:t xml:space="preserve">Returns)  </w:t>
      </w:r>
      <w:r w:rsidRPr="00804A33">
        <w:rPr>
          <w:rFonts w:ascii="Times" w:hAnsi="Times"/>
          <w:sz w:val="24"/>
          <w:szCs w:val="24"/>
          <w:lang w:val="zh-CN"/>
        </w:rPr>
        <w:t>年化收益率</w:t>
      </w:r>
      <w:proofErr w:type="gramEnd"/>
      <w:r w:rsidRPr="00804A33">
        <w:rPr>
          <w:rFonts w:ascii="Times" w:hAnsi="Times"/>
          <w:sz w:val="24"/>
          <w:szCs w:val="24"/>
        </w:rPr>
        <w:t xml:space="preserve"> </w:t>
      </w:r>
      <w:r w:rsidRPr="00804A33">
        <w:rPr>
          <w:rFonts w:ascii="Times" w:hAnsi="Times"/>
          <w:sz w:val="24"/>
          <w:szCs w:val="24"/>
          <w:lang w:val="zh-CN"/>
        </w:rPr>
        <w:t>比率越高</w:t>
      </w:r>
      <w:r w:rsidRPr="00804A33">
        <w:rPr>
          <w:rFonts w:ascii="Times" w:hAnsi="Times"/>
          <w:sz w:val="24"/>
          <w:szCs w:val="24"/>
        </w:rPr>
        <w:t>，</w:t>
      </w:r>
      <w:r w:rsidRPr="00804A33">
        <w:rPr>
          <w:rFonts w:ascii="Times" w:hAnsi="Times"/>
          <w:sz w:val="24"/>
          <w:szCs w:val="24"/>
          <w:lang w:val="zh-CN"/>
        </w:rPr>
        <w:t>投资者对股票预期越乐观</w:t>
      </w:r>
      <w:r w:rsidRPr="00804A33">
        <w:rPr>
          <w:rFonts w:ascii="Times" w:hAnsi="Times"/>
          <w:sz w:val="24"/>
          <w:szCs w:val="24"/>
        </w:rPr>
        <w:t xml:space="preserve"> </w:t>
      </w:r>
      <w:r w:rsidRPr="00804A33">
        <w:rPr>
          <w:rFonts w:ascii="Times" w:hAnsi="Times"/>
          <w:sz w:val="24"/>
          <w:szCs w:val="24"/>
        </w:rPr>
        <w:t>（</w:t>
      </w:r>
      <w:r w:rsidRPr="00804A33">
        <w:rPr>
          <w:rFonts w:ascii="Times" w:hAnsi="Times"/>
          <w:sz w:val="24"/>
          <w:szCs w:val="24"/>
          <w:lang w:val="zh-CN"/>
        </w:rPr>
        <w:t>策略最终价值</w:t>
      </w:r>
      <w:r w:rsidRPr="00804A33">
        <w:rPr>
          <w:rFonts w:ascii="Times" w:hAnsi="Times"/>
          <w:sz w:val="24"/>
          <w:szCs w:val="24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策略初始价值</w:t>
      </w:r>
      <w:r w:rsidRPr="00804A33">
        <w:rPr>
          <w:rFonts w:ascii="Times" w:hAnsi="Times"/>
          <w:sz w:val="24"/>
          <w:szCs w:val="24"/>
        </w:rPr>
        <w:t>-1</w:t>
      </w:r>
      <w:r w:rsidRPr="00804A33">
        <w:rPr>
          <w:rFonts w:ascii="Times" w:hAnsi="Times"/>
          <w:sz w:val="24"/>
          <w:szCs w:val="24"/>
        </w:rPr>
        <w:t>）</w:t>
      </w:r>
      <w:r w:rsidRPr="00804A33">
        <w:rPr>
          <w:rFonts w:ascii="Times" w:hAnsi="Times"/>
          <w:sz w:val="24"/>
          <w:szCs w:val="24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回测交易数量</w:t>
      </w:r>
      <w:r w:rsidRPr="00804A33">
        <w:rPr>
          <w:rFonts w:ascii="Times" w:hAnsi="Times"/>
          <w:sz w:val="24"/>
          <w:szCs w:val="24"/>
        </w:rPr>
        <w:t xml:space="preserve"> *250 </w:t>
      </w:r>
    </w:p>
    <w:p w14:paraId="6107951A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7AF00346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</w:rPr>
        <w:t xml:space="preserve">3. </w:t>
      </w:r>
      <w:r w:rsidRPr="00804A33">
        <w:rPr>
          <w:rFonts w:ascii="Times" w:hAnsi="Times"/>
          <w:sz w:val="24"/>
          <w:szCs w:val="24"/>
        </w:rPr>
        <w:t xml:space="preserve">Bench Mark Returns (Market) </w:t>
      </w:r>
      <w:r w:rsidRPr="00804A33">
        <w:rPr>
          <w:rFonts w:ascii="Times" w:hAnsi="Times"/>
          <w:sz w:val="24"/>
          <w:szCs w:val="24"/>
          <w:lang w:val="zh-CN"/>
        </w:rPr>
        <w:t>参考标准年化收益率</w:t>
      </w:r>
      <w:r w:rsidRPr="00804A33">
        <w:rPr>
          <w:rFonts w:ascii="Times" w:hAnsi="Times"/>
          <w:sz w:val="24"/>
          <w:szCs w:val="24"/>
        </w:rPr>
        <w:t xml:space="preserve"> </w:t>
      </w:r>
      <w:r w:rsidRPr="00804A33">
        <w:rPr>
          <w:rFonts w:ascii="Times" w:hAnsi="Times"/>
          <w:sz w:val="24"/>
          <w:szCs w:val="24"/>
        </w:rPr>
        <w:t>（</w:t>
      </w:r>
      <w:r w:rsidRPr="00804A33">
        <w:rPr>
          <w:rFonts w:ascii="Times" w:hAnsi="Times"/>
          <w:sz w:val="24"/>
          <w:szCs w:val="24"/>
          <w:lang w:val="zh-CN"/>
        </w:rPr>
        <w:t>参考标准最终指数</w:t>
      </w:r>
      <w:r w:rsidRPr="00804A33">
        <w:rPr>
          <w:rFonts w:ascii="Times" w:hAnsi="Times"/>
          <w:sz w:val="24"/>
          <w:szCs w:val="24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参考标准初始指数</w:t>
      </w:r>
      <w:r w:rsidRPr="00804A33">
        <w:rPr>
          <w:rFonts w:ascii="Times" w:hAnsi="Times"/>
          <w:sz w:val="24"/>
          <w:szCs w:val="24"/>
        </w:rPr>
        <w:t>-1</w:t>
      </w:r>
      <w:r w:rsidRPr="00804A33">
        <w:rPr>
          <w:rFonts w:ascii="Times" w:hAnsi="Times"/>
          <w:sz w:val="24"/>
          <w:szCs w:val="24"/>
        </w:rPr>
        <w:t>）</w:t>
      </w:r>
      <w:r w:rsidRPr="00804A33">
        <w:rPr>
          <w:rFonts w:ascii="Times" w:hAnsi="Times"/>
          <w:sz w:val="24"/>
          <w:szCs w:val="24"/>
        </w:rPr>
        <w:t xml:space="preserve">/ </w:t>
      </w:r>
      <w:r w:rsidRPr="00804A33">
        <w:rPr>
          <w:rFonts w:ascii="Times" w:hAnsi="Times"/>
          <w:sz w:val="24"/>
          <w:szCs w:val="24"/>
          <w:lang w:val="zh-CN"/>
        </w:rPr>
        <w:t>回测交易日数量</w:t>
      </w:r>
      <w:r w:rsidRPr="00804A33">
        <w:rPr>
          <w:rFonts w:ascii="Times" w:hAnsi="Times"/>
          <w:sz w:val="24"/>
          <w:szCs w:val="24"/>
        </w:rPr>
        <w:t xml:space="preserve"> *250</w:t>
      </w:r>
    </w:p>
    <w:p w14:paraId="64BA85CB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62ABB634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  <w:lang w:val="zh-CN"/>
        </w:rPr>
        <w:t xml:space="preserve">4. </w:t>
      </w:r>
      <w:r w:rsidRPr="00804A33">
        <w:rPr>
          <w:rFonts w:ascii="Times" w:hAnsi="Times"/>
          <w:sz w:val="24"/>
          <w:szCs w:val="24"/>
        </w:rPr>
        <w:t>Alpha:  Excess Return</w:t>
      </w:r>
      <w:r w:rsidRPr="00804A33">
        <w:rPr>
          <w:rFonts w:ascii="Times" w:hAnsi="Times"/>
          <w:sz w:val="24"/>
          <w:szCs w:val="24"/>
          <w:lang w:val="zh-CN"/>
        </w:rPr>
        <w:t>（策略年化收益</w:t>
      </w:r>
      <w:r w:rsidRPr="00804A33">
        <w:rPr>
          <w:rFonts w:ascii="Times" w:hAnsi="Times"/>
          <w:sz w:val="24"/>
          <w:szCs w:val="24"/>
          <w:lang w:val="zh-CN"/>
        </w:rPr>
        <w:t>-</w:t>
      </w:r>
      <w:r w:rsidRPr="00804A33">
        <w:rPr>
          <w:rFonts w:ascii="Times" w:hAnsi="Times"/>
          <w:sz w:val="24"/>
          <w:szCs w:val="24"/>
          <w:lang w:val="zh-CN"/>
        </w:rPr>
        <w:t>无风险收益）</w:t>
      </w:r>
      <w:r w:rsidRPr="00804A33">
        <w:rPr>
          <w:rFonts w:ascii="Times" w:hAnsi="Times"/>
          <w:sz w:val="24"/>
          <w:szCs w:val="24"/>
          <w:lang w:val="zh-CN"/>
        </w:rPr>
        <w:t xml:space="preserve"> - beta*</w:t>
      </w:r>
      <w:r w:rsidRPr="00804A33">
        <w:rPr>
          <w:rFonts w:ascii="Times" w:hAnsi="Times"/>
          <w:sz w:val="24"/>
          <w:szCs w:val="24"/>
          <w:lang w:val="zh-CN"/>
        </w:rPr>
        <w:t>（参考标准年化收益</w:t>
      </w:r>
      <w:r w:rsidRPr="00804A33">
        <w:rPr>
          <w:rFonts w:ascii="Times" w:hAnsi="Times"/>
          <w:sz w:val="24"/>
          <w:szCs w:val="24"/>
          <w:lang w:val="zh-CN"/>
        </w:rPr>
        <w:t>-</w:t>
      </w:r>
      <w:r w:rsidRPr="00804A33">
        <w:rPr>
          <w:rFonts w:ascii="Times" w:hAnsi="Times"/>
          <w:sz w:val="24"/>
          <w:szCs w:val="24"/>
          <w:lang w:val="zh-CN"/>
        </w:rPr>
        <w:t>无风险收益）。无风险收益：固定利率国债收益率曲线上</w:t>
      </w:r>
      <w:r w:rsidRPr="00804A33">
        <w:rPr>
          <w:rFonts w:ascii="Times" w:hAnsi="Times"/>
          <w:sz w:val="24"/>
          <w:szCs w:val="24"/>
          <w:lang w:val="zh-CN"/>
        </w:rPr>
        <w:t>10</w:t>
      </w:r>
      <w:r w:rsidRPr="00804A33">
        <w:rPr>
          <w:rFonts w:ascii="Times" w:hAnsi="Times"/>
          <w:sz w:val="24"/>
          <w:szCs w:val="24"/>
          <w:lang w:val="zh-CN"/>
        </w:rPr>
        <w:t>年期国债年化到期收益率。</w:t>
      </w:r>
      <w:r w:rsidRPr="00804A33">
        <w:rPr>
          <w:rFonts w:ascii="Times" w:hAnsi="Times"/>
          <w:sz w:val="24"/>
          <w:szCs w:val="24"/>
          <w:lang w:val="zh-CN"/>
        </w:rPr>
        <w:t xml:space="preserve"> </w:t>
      </w:r>
    </w:p>
    <w:p w14:paraId="7079D396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  <w:bookmarkStart w:id="0" w:name="_GoBack"/>
      <w:bookmarkEnd w:id="0"/>
    </w:p>
    <w:p w14:paraId="0CB71483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</w:rPr>
        <w:t xml:space="preserve">5. </w:t>
      </w:r>
      <w:r w:rsidRPr="00804A33">
        <w:rPr>
          <w:rFonts w:ascii="Times" w:hAnsi="Times"/>
          <w:sz w:val="24"/>
          <w:szCs w:val="24"/>
        </w:rPr>
        <w:t xml:space="preserve">Beta: </w:t>
      </w:r>
      <w:r w:rsidRPr="00804A33">
        <w:rPr>
          <w:rFonts w:ascii="Times" w:hAnsi="Times"/>
          <w:sz w:val="24"/>
          <w:szCs w:val="24"/>
        </w:rPr>
        <w:t xml:space="preserve"> </w:t>
      </w:r>
      <w:proofErr w:type="gramStart"/>
      <w:r w:rsidRPr="00804A33">
        <w:rPr>
          <w:rFonts w:ascii="Times" w:hAnsi="Times"/>
          <w:sz w:val="24"/>
          <w:szCs w:val="24"/>
          <w:lang w:val="zh-CN"/>
        </w:rPr>
        <w:t>风险参数</w:t>
      </w:r>
      <w:r w:rsidRPr="00804A33">
        <w:rPr>
          <w:rFonts w:ascii="Times" w:hAnsi="Times"/>
          <w:sz w:val="24"/>
          <w:szCs w:val="24"/>
        </w:rPr>
        <w:t xml:space="preserve">  Covariance</w:t>
      </w:r>
      <w:proofErr w:type="gramEnd"/>
      <w:r w:rsidRPr="00804A33">
        <w:rPr>
          <w:rFonts w:ascii="Times" w:hAnsi="Times"/>
          <w:sz w:val="24"/>
          <w:szCs w:val="24"/>
        </w:rPr>
        <w:t xml:space="preserve"> ( </w:t>
      </w:r>
      <w:r w:rsidRPr="00804A33">
        <w:rPr>
          <w:rFonts w:ascii="Times" w:hAnsi="Times"/>
          <w:sz w:val="24"/>
          <w:szCs w:val="24"/>
          <w:lang w:val="zh-CN"/>
        </w:rPr>
        <w:t>策略每日收益</w:t>
      </w:r>
      <w:r w:rsidRPr="00804A33">
        <w:rPr>
          <w:rFonts w:ascii="Times" w:hAnsi="Times"/>
          <w:sz w:val="24"/>
          <w:szCs w:val="24"/>
        </w:rPr>
        <w:t>，</w:t>
      </w:r>
      <w:r w:rsidRPr="00804A33">
        <w:rPr>
          <w:rFonts w:ascii="Times" w:hAnsi="Times"/>
          <w:sz w:val="24"/>
          <w:szCs w:val="24"/>
          <w:lang w:val="zh-CN"/>
        </w:rPr>
        <w:t>参考标准每日收益</w:t>
      </w:r>
      <w:r w:rsidRPr="00804A33">
        <w:rPr>
          <w:rFonts w:ascii="Times" w:hAnsi="Times"/>
          <w:sz w:val="24"/>
          <w:szCs w:val="24"/>
        </w:rPr>
        <w:t>）</w:t>
      </w:r>
      <w:r w:rsidRPr="00804A33">
        <w:rPr>
          <w:rFonts w:ascii="Times" w:hAnsi="Times"/>
          <w:sz w:val="24"/>
          <w:szCs w:val="24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参考标准每日收益的方差</w:t>
      </w:r>
    </w:p>
    <w:p w14:paraId="669A922C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  <w:lang w:val="zh-CN"/>
        </w:rPr>
        <w:t>代码实现参考</w:t>
      </w:r>
      <w:r w:rsidRPr="00804A33">
        <w:rPr>
          <w:rFonts w:ascii="Times" w:hAnsi="Times"/>
          <w:sz w:val="24"/>
          <w:szCs w:val="24"/>
        </w:rPr>
        <w:t>：</w:t>
      </w:r>
      <w:r w:rsidRPr="00804A33">
        <w:rPr>
          <w:rFonts w:ascii="Times" w:hAnsi="Times"/>
          <w:sz w:val="24"/>
          <w:szCs w:val="24"/>
        </w:rPr>
        <w:t>https://blog.csdn.net/thfyshz/article/details/83443783</w:t>
      </w:r>
    </w:p>
    <w:p w14:paraId="52E67EBF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6F993A47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645DAE47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r w:rsidRPr="00804A33">
        <w:rPr>
          <w:rFonts w:ascii="Times" w:hAnsi="Times"/>
          <w:sz w:val="24"/>
          <w:szCs w:val="24"/>
        </w:rPr>
        <w:t xml:space="preserve">6.  </w:t>
      </w:r>
      <w:r w:rsidRPr="00804A33">
        <w:rPr>
          <w:rFonts w:ascii="Times" w:hAnsi="Times"/>
          <w:sz w:val="24"/>
          <w:szCs w:val="24"/>
        </w:rPr>
        <w:t xml:space="preserve">Max Drawdown </w:t>
      </w:r>
      <w:r w:rsidRPr="00804A33">
        <w:rPr>
          <w:rFonts w:ascii="Times" w:hAnsi="Times"/>
          <w:sz w:val="24"/>
          <w:szCs w:val="24"/>
          <w:lang w:val="zh-CN"/>
        </w:rPr>
        <w:t>最大回撤</w:t>
      </w:r>
      <w:r w:rsidRPr="00804A33">
        <w:rPr>
          <w:rFonts w:ascii="Times" w:hAnsi="Times"/>
          <w:sz w:val="24"/>
          <w:szCs w:val="24"/>
        </w:rPr>
        <w:t>：</w:t>
      </w:r>
      <w:r w:rsidRPr="00804A33">
        <w:rPr>
          <w:rFonts w:ascii="Times" w:hAnsi="Times"/>
          <w:sz w:val="24"/>
          <w:szCs w:val="24"/>
          <w:lang w:val="zh-CN"/>
        </w:rPr>
        <w:t>策略中可能出现的最差情况。（</w:t>
      </w:r>
      <w:r w:rsidRPr="00804A33">
        <w:rPr>
          <w:rFonts w:ascii="Times" w:hAnsi="Times"/>
          <w:sz w:val="24"/>
          <w:szCs w:val="24"/>
        </w:rPr>
        <w:t>1-</w:t>
      </w:r>
      <w:r w:rsidRPr="00804A33">
        <w:rPr>
          <w:rFonts w:ascii="Times" w:hAnsi="Times"/>
          <w:sz w:val="24"/>
          <w:szCs w:val="24"/>
          <w:lang w:val="zh-CN"/>
        </w:rPr>
        <w:t>策略当日值</w:t>
      </w:r>
      <w:r w:rsidRPr="00804A33">
        <w:rPr>
          <w:rFonts w:ascii="Times" w:hAnsi="Times"/>
          <w:sz w:val="24"/>
          <w:szCs w:val="24"/>
          <w:lang w:val="zh-CN"/>
        </w:rPr>
        <w:t>/</w:t>
      </w:r>
      <w:r w:rsidRPr="00804A33">
        <w:rPr>
          <w:rFonts w:ascii="Times" w:hAnsi="Times"/>
          <w:sz w:val="24"/>
          <w:szCs w:val="24"/>
          <w:lang w:val="zh-CN"/>
        </w:rPr>
        <w:t>当日之前虚拟账户的最高价值）</w:t>
      </w:r>
      <w:r w:rsidRPr="00804A33">
        <w:rPr>
          <w:rFonts w:ascii="Times" w:hAnsi="Times"/>
          <w:sz w:val="24"/>
          <w:szCs w:val="24"/>
          <w:lang w:val="zh-CN"/>
        </w:rPr>
        <w:t>%</w:t>
      </w:r>
    </w:p>
    <w:p w14:paraId="78F3B6A0" w14:textId="77777777" w:rsidR="00BA7255" w:rsidRPr="00804A33" w:rsidRDefault="00E506FC">
      <w:pPr>
        <w:pStyle w:val="Body"/>
        <w:rPr>
          <w:rFonts w:ascii="Times" w:hAnsi="Times"/>
          <w:sz w:val="24"/>
          <w:szCs w:val="24"/>
        </w:rPr>
      </w:pPr>
      <w:hyperlink r:id="rId9" w:history="1">
        <w:r w:rsidRPr="00804A33">
          <w:rPr>
            <w:rStyle w:val="Hyperlink0"/>
            <w:rFonts w:ascii="Times" w:hAnsi="Times"/>
            <w:sz w:val="24"/>
            <w:szCs w:val="24"/>
          </w:rPr>
          <w:t>https://www.cnblogs.com/xunziji/p/6760019.html</w:t>
        </w:r>
      </w:hyperlink>
      <w:r w:rsidRPr="00804A33">
        <w:rPr>
          <w:rFonts w:ascii="Times" w:hAnsi="Times"/>
          <w:sz w:val="24"/>
          <w:szCs w:val="24"/>
          <w:lang w:val="zh-CN"/>
        </w:rPr>
        <w:t xml:space="preserve"> </w:t>
      </w:r>
      <w:r w:rsidRPr="00804A33">
        <w:rPr>
          <w:rFonts w:ascii="Times" w:hAnsi="Times"/>
          <w:sz w:val="24"/>
          <w:szCs w:val="24"/>
          <w:lang w:val="zh-CN"/>
        </w:rPr>
        <w:t>代码实现</w:t>
      </w:r>
    </w:p>
    <w:p w14:paraId="38B21A5A" w14:textId="77777777" w:rsidR="00BA7255" w:rsidRPr="00804A33" w:rsidRDefault="00BA7255">
      <w:pPr>
        <w:pStyle w:val="Body"/>
        <w:rPr>
          <w:rFonts w:ascii="Times" w:hAnsi="Times"/>
          <w:sz w:val="24"/>
          <w:szCs w:val="24"/>
        </w:rPr>
      </w:pPr>
    </w:p>
    <w:p w14:paraId="23A9BCD9" w14:textId="77777777" w:rsidR="00BA7255" w:rsidRDefault="00BA7255">
      <w:pPr>
        <w:pStyle w:val="Body"/>
        <w:rPr>
          <w:sz w:val="24"/>
          <w:szCs w:val="24"/>
        </w:rPr>
      </w:pPr>
    </w:p>
    <w:p w14:paraId="41BE959E" w14:textId="77777777" w:rsidR="00BA7255" w:rsidRDefault="00BA7255">
      <w:pPr>
        <w:pStyle w:val="Body"/>
      </w:pPr>
    </w:p>
    <w:p w14:paraId="477E9E7F" w14:textId="77777777" w:rsidR="00BA7255" w:rsidRDefault="00BA7255">
      <w:pPr>
        <w:pStyle w:val="Body"/>
      </w:pPr>
    </w:p>
    <w:sectPr w:rsidR="00BA7255">
      <w:head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29C9" w14:textId="77777777" w:rsidR="00E506FC" w:rsidRDefault="00E506FC">
      <w:r>
        <w:separator/>
      </w:r>
    </w:p>
  </w:endnote>
  <w:endnote w:type="continuationSeparator" w:id="0">
    <w:p w14:paraId="63890F8F" w14:textId="77777777" w:rsidR="00E506FC" w:rsidRDefault="00E5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996C2" w14:textId="77777777" w:rsidR="00E506FC" w:rsidRDefault="00E506FC">
      <w:r>
        <w:separator/>
      </w:r>
    </w:p>
  </w:footnote>
  <w:footnote w:type="continuationSeparator" w:id="0">
    <w:p w14:paraId="3FDFA9DA" w14:textId="77777777" w:rsidR="00E506FC" w:rsidRDefault="00E50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0FEB" w14:textId="68C0D9C3" w:rsidR="00BA7255" w:rsidRDefault="00E506FC">
    <w:pPr>
      <w:pStyle w:val="HeaderFooter"/>
      <w:tabs>
        <w:tab w:val="clear" w:pos="9020"/>
        <w:tab w:val="center" w:pos="4680"/>
        <w:tab w:val="right" w:pos="9360"/>
      </w:tabs>
    </w:pPr>
    <w:r>
      <w:t xml:space="preserve">                                                     </w:t>
    </w:r>
    <w:r>
      <w:rPr>
        <w:lang w:val="en-US"/>
      </w:rPr>
      <w:t xml:space="preserve">Metrics </w:t>
    </w:r>
    <w:r>
      <w:rPr>
        <w:rFonts w:ascii="Arial Unicode MS" w:hAnsi="Arial Unicode MS" w:hint="eastAsia"/>
      </w:rPr>
      <w:t>（</w:t>
    </w:r>
    <w:r>
      <w:rPr>
        <w:lang w:val="en-US"/>
      </w:rPr>
      <w:t xml:space="preserve">Strategy </w:t>
    </w:r>
    <w:r>
      <w:rPr>
        <w:rFonts w:ascii="Arial Unicode MS" w:hAnsi="Arial Unicode MS" w:hint="eastAsia"/>
      </w:rPr>
      <w:t>参数）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784"/>
    <w:multiLevelType w:val="hybridMultilevel"/>
    <w:tmpl w:val="2C9CDF96"/>
    <w:numStyleLink w:val="Numbered"/>
  </w:abstractNum>
  <w:abstractNum w:abstractNumId="1" w15:restartNumberingAfterBreak="0">
    <w:nsid w:val="45E10132"/>
    <w:multiLevelType w:val="hybridMultilevel"/>
    <w:tmpl w:val="2C9CDF96"/>
    <w:styleLink w:val="Numbered"/>
    <w:lvl w:ilvl="0" w:tplc="06B4917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FEA5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10C2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0A555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D6C29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883D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E5D5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8220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3209C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55"/>
    <w:rsid w:val="00804A33"/>
    <w:rsid w:val="00BA7255"/>
    <w:rsid w:val="00E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8390"/>
  <w15:docId w15:val="{C1600DA1-EA1F-7E44-BE06-53CD1883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0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A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A3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fyshz/article/details/834437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unziji/p/6760019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Ruoxi Zhao</cp:lastModifiedBy>
  <cp:revision>2</cp:revision>
  <dcterms:created xsi:type="dcterms:W3CDTF">2019-08-12T05:24:00Z</dcterms:created>
  <dcterms:modified xsi:type="dcterms:W3CDTF">2019-08-12T05:25:00Z</dcterms:modified>
</cp:coreProperties>
</file>