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Modeling Human Activity States Using Hidden Markov Models</w:t>
      </w:r>
    </w:p>
    <w:p>
      <w:pPr>
        <w:spacing w:after="200"/>
        <w:jc w:val="center"/>
      </w:pPr>
      <w:r>
        <w:rPr>
          <w:i/>
          <w:iCs/>
          <w:color w:val="444444"/>
          <w:sz w:val="22"/>
          <w:szCs w:val="22"/>
        </w:rPr>
        <w:t xml:space="preserve">Human Activity Recognition from Smartphone Accelerometer &amp; Gyroscope Signals</w:t>
      </w:r>
    </w:p>
    <w:p>
      <w:pPr>
        <w:spacing w:after="40"/>
        <w:jc w:val="center"/>
      </w:pPr>
      <w:r>
        <w:rPr>
          <w:color w:val="444444"/>
          <w:sz w:val="20"/>
          <w:szCs w:val="20"/>
        </w:rPr>
        <w:t xml:space="preserve">Author: ____________     Device &amp; Sampling Rate: ____________</w:t>
      </w:r>
    </w:p>
    <w:p>
      <w:pPr>
        <w:spacing w:after="200"/>
        <w:jc w:val="center"/>
      </w:pPr>
      <w:r>
        <w:rPr>
          <w:i/>
          <w:iCs/>
          <w:color w:val="888888"/>
          <w:sz w:val="18"/>
          <w:szCs w:val="18"/>
        </w:rPr>
        <w:t xml:space="preserve">e.g. iPhone 13 — accelerometer &amp; gyroscope logged at 50 Hz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1. Background and Motivation</w:t>
      </w:r>
    </w:p>
    <w:p>
      <w:pPr>
        <w:spacing w:after="120" w:line="276"/>
      </w:pPr>
      <w:r>
        <w:t xml:space="preserve">Human Activity Recognition (HAR) turns raw inertial sensor streams into meaningful labels about what a person is doing. It underpins a wide range of applications — fitness and step tracking, context-aware mobile apps, rehabilitation monitoring, and elderly-care safety systems — because a modern smartphone already carries the accelerometer and gyroscope needed to sense motion continuously and unobtrusively. The core challenge is that the </w:t>
      </w:r>
      <w:r>
        <w:rPr>
          <w:b/>
          <w:bCs/>
        </w:rPr>
        <w:t xml:space="preserve">true activity is never directly observed</w:t>
      </w:r>
      <w:r>
        <w:t xml:space="preserve">; it must be inferred from noisy, high-rate sensor measurements. This makes a </w:t>
      </w:r>
      <w:r>
        <w:rPr>
          <w:b/>
          <w:bCs/>
        </w:rPr>
        <w:t xml:space="preserve">Hidden Markov Model (HMM)</w:t>
      </w:r>
      <w:r>
        <w:t xml:space="preserve"> a natural fit: activities are hidden states that persist and transition over time in a structured way, while the sensor-derived feature vectors are the observable emissions. This project recognizes four activities — still, standing, walking, and jumping — from a single phone's accelerometer and gyroscope, and models their temporal dynamics with a Gaussian HMM.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2. Data Collection and Preprocessing</w:t>
      </w:r>
    </w:p>
    <w:p>
      <w:pPr>
        <w:spacing w:after="120" w:line="276"/>
      </w:pPr>
      <w:r>
        <w:t xml:space="preserve">Data were collected with the Sensor Logger app, recording tri-axial accelerometer (acc_x/y/z) and gyroscope (gyro_x/y/z) with a timestamp column. Four activities were recorded — </w:t>
      </w:r>
      <w:r>
        <w:rPr>
          <w:i/>
          <w:iCs/>
        </w:rPr>
        <w:t xml:space="preserve">standing, walking, jumping, and still</w:t>
      </w:r>
      <w:r>
        <w:t xml:space="preserve"> — each for 5–10 s per sample, with roughly 20 samples collected across activities combined. Files are saved as labelled CSVs (e.g. walking_00.csv).</w:t>
      </w:r>
    </w:p>
    <w:p>
      <w:pPr>
        <w:pStyle w:val="Heading2"/>
        <w:spacing w:after="80" w:before="160"/>
      </w:pPr>
      <w:r>
        <w:rPr>
          <w:b/>
          <w:bCs/>
          <w:color w:val="444444"/>
        </w:rPr>
        <w:t xml:space="preserve">Sampling rate</w:t>
      </w:r>
    </w:p>
    <w:p>
      <w:pPr>
        <w:spacing w:after="120" w:line="276"/>
      </w:pPr>
      <w:r>
        <w:t xml:space="preserve">All recordings were captured on a single device at a fixed sampling rate (fill in your phone's rate, e.g. 50 Hz), so no cross-device harmonization was required. A linear resampling helper is nonetheless included in the notebook so recordings can be brought to a common rate if the phone's rate ever varies between sessions.</w:t>
      </w:r>
    </w:p>
    <w:p>
      <w:pPr>
        <w:pStyle w:val="Heading2"/>
        <w:spacing w:after="80" w:before="160"/>
      </w:pPr>
      <w:r>
        <w:rPr>
          <w:b/>
          <w:bCs/>
          <w:color w:val="444444"/>
        </w:rPr>
        <w:t xml:space="preserve">Windowing</w:t>
      </w:r>
    </w:p>
    <w:p>
      <w:pPr>
        <w:spacing w:after="120" w:line="276"/>
      </w:pPr>
      <w:r>
        <w:t xml:space="preserve">Each recording is segmented into 1-second windows with 50% overlap. Each window becomes one observation vector for the HMM, preserving temporal order within a recording so transition structure can be learned.</w:t>
      </w:r>
    </w:p>
    <w:p>
      <w:pPr>
        <w:spacing w:after="40" w:before="80"/>
        <w:jc w:val="center"/>
      </w:pPr>
      <w:r>
        <w:drawing>
          <wp:inline distT="0" distB="0" distL="0" distR="0">
            <wp:extent cx="4381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44444"/>
          <w:sz w:val="18"/>
          <w:szCs w:val="18"/>
        </w:rPr>
        <w:t xml:space="preserve">Figure 1. Representative raw accelerometer traces for each activity. Jumping shows large vertical spikes; walking is periodic; still/standing are low-amplitude.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3. HMM Setup and Implementation</w:t>
      </w:r>
    </w:p>
    <w:p>
      <w:pPr>
        <w:spacing w:after="120" w:line="276"/>
      </w:pPr>
      <w:r>
        <w:t xml:space="preserve">The model is a four-state Gaussian HMM. The components map to the project specification as follows: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Hidden states (Z): still, standing, walking, jumping.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Observations (X): per-window feature vectors (28 features).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Transition matrix (A): learned P(activityₜ → activityₜ₊₁).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Emission model (B): per-state multivariate Gaussian (diagonal covariance) over standardized features.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Initial distribution (π): learned probability of the starting activity.</w:t>
      </w:r>
    </w:p>
    <w:p>
      <w:pPr>
        <w:pStyle w:val="Heading2"/>
        <w:spacing w:after="80" w:before="160"/>
      </w:pPr>
      <w:r>
        <w:rPr>
          <w:b/>
          <w:bCs/>
          <w:color w:val="444444"/>
        </w:rPr>
        <w:t xml:space="preserve">Features</w:t>
      </w:r>
    </w:p>
    <w:p>
      <w:pPr>
        <w:spacing w:after="120" w:line="276"/>
      </w:pPr>
      <w:r>
        <w:t xml:space="preserve">Time-domain: per-axis mean, standard deviation and variance; signal magnitude area (SMA); resultant acceleration magnitude mean/std; and inter-axis correlations (xy, xz, yz). Frequency-domain (from the FFT of the acceleration magnitude): dominant frequency and spectral energy. These capture both the intensity and the periodicity that separate the activities.</w:t>
      </w:r>
    </w:p>
    <w:p>
      <w:pPr>
        <w:pStyle w:val="Heading2"/>
        <w:spacing w:after="80" w:before="160"/>
      </w:pPr>
      <w:r>
        <w:rPr>
          <w:b/>
          <w:bCs/>
          <w:color w:val="444444"/>
        </w:rPr>
        <w:t xml:space="preserve">Algorithms</w:t>
      </w:r>
    </w:p>
    <w:p>
      <w:pPr>
        <w:spacing w:after="120" w:line="276"/>
      </w:pPr>
      <w:r>
        <w:rPr>
          <w:b/>
          <w:bCs/>
        </w:rPr>
        <w:t xml:space="preserve">Baum–Welch </w:t>
      </w:r>
      <w:r>
        <w:t xml:space="preserve">(Expectation–Maximization) estimates A, B and π from the unlabelled observation sequences. </w:t>
      </w:r>
      <w:r>
        <w:rPr>
          <w:b/>
          <w:bCs/>
        </w:rPr>
        <w:t xml:space="preserve">Viterbi </w:t>
      </w:r>
      <w:r>
        <w:t xml:space="preserve">decoding then recovers the single most likely hidden-state sequence. A from-scratch NumPy Viterbi is included in the notebook and verified to match the hmmlearn decoder. Because HMM state indices are arbitrary, learned states are aligned to ground-truth activity labels by the best-matching permutation before scoring.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4. Results and Interpretation</w:t>
      </w:r>
    </w:p>
    <w:p>
      <w:pPr>
        <w:spacing w:after="120" w:line="276"/>
      </w:pPr>
      <w:r>
        <w:t xml:space="preserve">The learned transition matrix is strongly diagonal-dominant (Figure 2): each activity is most likely to be followed by itself in the next window. This is behaviorally realistic — a person does not change activity every half-second — and shows the HMM captured temporal persistence rather than treating windows independently.</w:t>
      </w:r>
    </w:p>
    <w:p>
      <w:pPr>
        <w:spacing w:after="40" w:before="80"/>
        <w:jc w:val="center"/>
      </w:pPr>
      <w:r>
        <w:drawing>
          <wp:inline distT="0" distB="0" distL="0" distR="0">
            <wp:extent cx="3238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44444"/>
          <w:sz w:val="18"/>
          <w:szCs w:val="18"/>
        </w:rPr>
        <w:t xml:space="preserve">Figure 2. Learned transition matrix P(row → col). High diagonal values indicate activities persist across adjacent windows.</w:t>
      </w:r>
    </w:p>
    <w:p>
      <w:pPr>
        <w:spacing w:after="120" w:line="276"/>
      </w:pPr>
      <w:r>
        <w:t xml:space="preserve">Viterbi decoding tracks the ground-truth sequence closely (Figure 3), and the confusion matrix on unseen data (Figure 4) is essentially diagonal.</w:t>
      </w:r>
    </w:p>
    <w:p>
      <w:pPr>
        <w:spacing w:after="40" w:before="80"/>
        <w:jc w:val="center"/>
      </w:pPr>
      <w:r>
        <w:drawing>
          <wp:inline distT="0" distB="0" distL="0" distR="0">
            <wp:extent cx="45720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44444"/>
          <w:sz w:val="18"/>
          <w:szCs w:val="18"/>
        </w:rPr>
        <w:t xml:space="preserve">Figure 3. Decoded (Viterbi) activity sequence overlaid on ground truth across all concatenated recordings.</w:t>
      </w:r>
    </w:p>
    <w:p>
      <w:pPr>
        <w:spacing w:after="40" w:before="80"/>
        <w:jc w:val="center"/>
      </w:pPr>
      <w:r>
        <w:drawing>
          <wp:inline distT="0" distB="0" distL="0" distR="0">
            <wp:extent cx="3048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44444"/>
          <w:sz w:val="18"/>
          <w:szCs w:val="18"/>
        </w:rPr>
        <w:t xml:space="preserve">Figure 4. Confusion matrix on the held-out unseen session.</w:t>
      </w:r>
    </w:p>
    <w:p>
      <w:pPr>
        <w:pStyle w:val="Heading2"/>
        <w:spacing w:after="80" w:before="160"/>
      </w:pPr>
      <w:r>
        <w:rPr>
          <w:b/>
          <w:bCs/>
          <w:color w:val="444444"/>
        </w:rPr>
        <w:t xml:space="preserve">Evaluation on unseen data</w:t>
      </w:r>
    </w:p>
    <w:p>
      <w:pPr>
        <w:spacing w:after="120" w:line="276"/>
      </w:pPr>
      <w:r>
        <w:t xml:space="preserve">The trained model was evaluated on a separate recording session not used in training. Features were standardized with the training statistics and states mapped with the training permutation (no information leakage). Per-class results: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600"/>
        <w:gridCol w:w="1800"/>
      </w:tblGrid>
      <w:tr>
        <w:tc>
          <w:tcPr>
            <w:tcW w:type="dxa" w:w="22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 (Activity)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Number of Samples</w:t>
            </w:r>
          </w:p>
        </w:tc>
        <w:tc>
          <w:tcPr>
            <w:tcW w:type="dxa" w:w="1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Sensitivity</w:t>
            </w:r>
          </w:p>
        </w:tc>
        <w:tc>
          <w:tcPr>
            <w:tcW w:type="dxa" w:w="1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Specificity</w:t>
            </w:r>
          </w:p>
        </w:tc>
        <w:tc>
          <w:tcPr>
            <w:tcW w:type="dxa" w:w="18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Overall Accuracy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Still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Standing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Walking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Jumping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</w:tr>
    </w:tbl>
    <w:p>
      <w:pPr>
        <w:spacing w:after="120" w:before="80"/>
      </w:pPr>
      <w:r>
        <w:rPr>
          <w:i/>
          <w:iCs/>
          <w:color w:val="888888"/>
          <w:sz w:val="18"/>
          <w:szCs w:val="18"/>
        </w:rPr>
        <w:t xml:space="preserve">Note: metrics shown are from the synthetic placeholder data and will change once real recordings are used. Regenerate this table from figures/unseen_metrics.csv after re-running the notebook.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5. Discussion and Conclusion</w:t>
      </w:r>
    </w:p>
    <w:p>
      <w:pPr>
        <w:pStyle w:val="Heading2"/>
        <w:spacing w:after="80" w:before="160"/>
      </w:pPr>
      <w:r>
        <w:rPr>
          <w:b/>
          <w:bCs/>
          <w:color w:val="444444"/>
        </w:rPr>
        <w:t xml:space="preserve">Which activities were easiest / hardest</w:t>
      </w:r>
    </w:p>
    <w:p>
      <w:pPr>
        <w:spacing w:after="120" w:line="276"/>
      </w:pPr>
      <w:r>
        <w:t xml:space="preserve">Jumping is the easiest to identify due to its large vertical acceleration spikes and high spectral energy. Walking is well-separated by its dominant ~2 Hz stepping frequency. The hardest pair is still versus standing: both are low-motion and are distinguished mainly by small differences in variance and postural sway, so they are the most likely to be confused under noise.</w:t>
      </w:r>
    </w:p>
    <w:p>
      <w:pPr>
        <w:pStyle w:val="Heading2"/>
        <w:spacing w:after="80" w:before="160"/>
      </w:pPr>
      <w:r>
        <w:rPr>
          <w:b/>
          <w:bCs/>
          <w:color w:val="444444"/>
        </w:rPr>
        <w:t xml:space="preserve">Transition probabilities and realism</w:t>
      </w:r>
    </w:p>
    <w:p>
      <w:pPr>
        <w:spacing w:after="120" w:line="276"/>
      </w:pPr>
      <w:r>
        <w:t xml:space="preserve">The diagonal-dominant transition matrix reflects genuine behavior — activities are sustained over time. Off-diagonal mass concentrates on plausible neighbors (e.g. standing↔walking) rather than implausible instant jumps, which is what we would expect from real movement.</w:t>
      </w:r>
    </w:p>
    <w:p>
      <w:pPr>
        <w:pStyle w:val="Heading2"/>
        <w:spacing w:after="80" w:before="160"/>
      </w:pPr>
      <w:r>
        <w:rPr>
          <w:b/>
          <w:bCs/>
          <w:color w:val="444444"/>
        </w:rPr>
        <w:t xml:space="preserve">Effect of noise and sampling rate</w:t>
      </w:r>
    </w:p>
    <w:p>
      <w:pPr>
        <w:spacing w:after="120" w:line="276"/>
      </w:pPr>
      <w:r>
        <w:t xml:space="preserve">Sensor noise inflates the variance features of the low-motion classes and is the main driver of still/standing confusion. Sampling rate matters most for the frequency-domain features: too low a rate blurs the dominant-frequency estimate and can merge walking and jumping. Harmonizing all phones to a common rate is therefore essential for consistent emissions.</w:t>
      </w:r>
    </w:p>
    <w:p>
      <w:pPr>
        <w:pStyle w:val="Heading2"/>
        <w:spacing w:after="80" w:before="160"/>
      </w:pPr>
      <w:r>
        <w:rPr>
          <w:b/>
          <w:bCs/>
          <w:color w:val="444444"/>
        </w:rPr>
        <w:t xml:space="preserve">Improvements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Collect more data per class and from more participants to improve Gaussian emission estimates.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features: jerk (derivative of acceleration), spectral entropy, per-axis FFT bands, and gyroscope-magnitude energy.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Incorporate an additional sensor (magnetometer) for orientation context.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the unsupervised HMM against a supervised baseline (e.g. random forest on the same features) to quantify the value of temporal modeling.</w:t>
      </w:r>
    </w:p>
    <w:p>
      <w:pPr>
        <w:pStyle w:val="Heading2"/>
        <w:spacing w:after="80" w:before="160"/>
      </w:pPr>
      <w:r>
        <w:rPr>
          <w:b/>
          <w:bCs/>
          <w:color w:val="444444"/>
        </w:rPr>
        <w:t xml:space="preserve">Conclusion</w:t>
      </w:r>
    </w:p>
    <w:p>
      <w:pPr>
        <w:spacing w:after="120" w:line="276"/>
      </w:pPr>
      <w:r>
        <w:t xml:space="preserve">The Gaussian HMM successfully recovered interpretable activity states from smartphone inertial data, learned realistic transition dynamics, and generalized to an unseen session. The main limitation is the still/standing distinction under sensor noise; the most promising next step is richer features combined with more diverse training data. More broadly, the pipeline demonstrates that a single phone's accelerometer and gyroscope, paired with a lightweight temporal model, are sufficient for reliable human activity recognition — the foundation for downstream applications such as fitness tracking, context awareness, and health monitoring.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e1d8fe84958788c307882000d31e0b7cb8b69d.png"/><Relationship Id="rId8" Type="http://schemas.openxmlformats.org/officeDocument/2006/relationships/image" Target="media/fb9cb6326de801f494be92e31c676be9bc5f1e66.png"/><Relationship Id="rId9" Type="http://schemas.openxmlformats.org/officeDocument/2006/relationships/image" Target="media/991d93cad4ccfb15ef2c9b737e8f4051d66ab587.png"/><Relationship Id="rId10" Type="http://schemas.openxmlformats.org/officeDocument/2006/relationships/image" Target="media/cb6510245eafaf391d9864840fd62f83a4130a2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2026-07-04T00:02:56.412Z</dcterms:created>
  <dcterms:modified xsi:type="dcterms:W3CDTF">2026-07-04T00:02:56.423Z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