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Production Notebook</w:t>
      </w:r>
    </w:p>
    <w:p>
      <w:pPr>
        <w:spacing w:after="80" w:before="0"/>
        <w:jc w:val="left"/>
      </w:pPr>
      <w:r>
        <w:rPr>
          <w:rFonts w:ascii="Arial" w:cs="Arial" w:eastAsia="Arial" w:hAnsi="Arial"/>
          <w:b/>
          <w:bCs/>
          <w:sz w:val="34"/>
          <w:szCs w:val="34"/>
        </w:rPr>
        <w:t xml:space="preserve">Convergence Communication I:</w:t>
      </w:r>
    </w:p>
    <w:p>
      <w:pPr>
        <w:spacing w:after="360" w:before="0"/>
        <w:jc w:val="left"/>
      </w:pPr>
      <w:r>
        <w:rPr>
          <w:rFonts w:ascii="Arial" w:cs="Arial" w:eastAsia="Arial" w:hAnsi="Arial"/>
          <w:i/>
          <w:iCs/>
          <w:sz w:val="26"/>
          <w:szCs w:val="26"/>
        </w:rPr>
        <w:t xml:space="preserve">Photoshop Portrait Exercise and the Fact Watch Trashion Show</w:t>
      </w:r>
    </w:p>
    <w:p>
      <w:pPr>
        <w:spacing w:after="120"/>
      </w:pPr>
      <w:r>
        <w:rPr>
          <w:rFonts w:ascii="Georgia" w:cs="Georgia" w:eastAsia="Georgia" w:hAnsi="Georgia"/>
          <w:i/>
          <w:iCs/>
          <w:sz w:val="22"/>
          <w:szCs w:val="22"/>
        </w:rPr>
        <w:t xml:space="preserve">Md. Miraz Hossain  —  MSJ2102: Convergence Communication I  —  Spring 2025</w:t>
      </w:r>
    </w:p>
    <w:p>
      <w:pPr>
        <w:spacing w:after="600"/>
      </w:pPr>
      <w:r>
        <w:rPr>
          <w:rFonts w:ascii="Georgia" w:cs="Georgia" w:eastAsia="Georgia" w:hAnsi="Georgia"/>
          <w:i/>
          <w:iCs/>
          <w:color w:val="555555"/>
          <w:sz w:val="22"/>
          <w:szCs w:val="22"/>
        </w:rPr>
        <w:t xml:space="preserve">Group: Fact Watch  —  Venue: National Art Gallery, Bangladesh Shilpakala Academy, Segunbagicha, Dhaka</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Overview</w:t>
      </w:r>
    </w:p>
    <w:p>
      <w:pPr>
        <w:spacing w:after="200" w:line="360" w:lineRule="auto"/>
        <w:ind w:firstLine="720"/>
        <w:jc w:val="both"/>
      </w:pPr>
      <w:r>
        <w:rPr>
          <w:rFonts w:ascii="Georgia" w:cs="Georgia" w:eastAsia="Georgia" w:hAnsi="Georgia"/>
          <w:sz w:val="24"/>
          <w:szCs w:val="24"/>
        </w:rPr>
        <w:t xml:space="preserve">Convergence Communication I ran two distinct production tracks in Spring 2025. The first was an individual technical exercise in Adobe Photoshop: designing a creative portrait poster of a fellow student, working with layers, typography, colour, and compositional framing. The second was a group project: a Trashion Show performance at the National Art Gallery of the Bangladesh Shilpakala Academy, with costumes made from discarded and recycled materials, a live performance, and a documented production journey.</w:t>
      </w:r>
    </w:p>
    <w:p>
      <w:pPr>
        <w:spacing w:after="200" w:line="360" w:lineRule="auto"/>
        <w:ind w:firstLine="720"/>
        <w:jc w:val="both"/>
      </w:pPr>
      <w:r>
        <w:rPr>
          <w:rFonts w:ascii="Georgia" w:cs="Georgia" w:eastAsia="Georgia" w:hAnsi="Georgia"/>
          <w:sz w:val="24"/>
          <w:szCs w:val="24"/>
        </w:rPr>
        <w:t xml:space="preserve">This notebook covers both. The Photoshop exercise is documented first because it was, in production sequence, the earlier work and because it introduced the visual communication vocabulary — composition, colour contrast, typographic hierarchy, symbolic layering — that the Trashion Show applied at a larger scale. The Trashion Show documentation is the longer section because the production process was more complex, more collaborative, and more instructive in the ways things went wrong.</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Part 1: Individual Exercise — Portrait Poster in Adobe Photoshop</w:t>
      </w:r>
    </w:p>
    <w:p>
      <w:pPr>
        <w:pStyle w:val="Heading2"/>
        <w:spacing w:after="140" w:before="300"/>
      </w:pPr>
      <w:r>
        <w:rPr>
          <w:rFonts w:ascii="Arial" w:cs="Arial" w:eastAsia="Arial" w:hAnsi="Arial"/>
          <w:b/>
          <w:bCs/>
          <w:color w:val="1A3A5C"/>
          <w:sz w:val="24"/>
          <w:szCs w:val="24"/>
        </w:rPr>
        <w:t xml:space="preserve">1.1 The Brief and the Subject</w:t>
      </w:r>
    </w:p>
    <w:p>
      <w:pPr>
        <w:spacing w:after="200" w:line="360" w:lineRule="auto"/>
        <w:ind w:firstLine="720"/>
        <w:jc w:val="both"/>
      </w:pPr>
      <w:r>
        <w:rPr>
          <w:rFonts w:ascii="Georgia" w:cs="Georgia" w:eastAsia="Georgia" w:hAnsi="Georgia"/>
          <w:sz w:val="24"/>
          <w:szCs w:val="24"/>
        </w:rPr>
        <w:t xml:space="preserve">The individual exercise asked students to design a creative portrait poster of a classmate using Adobe Photoshop. The subject I chose was Maimuna Nawar Rahman, who also became one of the designers on the Fact Watch group project. The brief was open in format but required the poster to communicate something specific about the subject — not a generic portrait but a designed piece with a visual argument.</w:t>
      </w:r>
    </w:p>
    <w:p>
      <w:pPr>
        <w:spacing w:after="200" w:line="360" w:lineRule="auto"/>
        <w:ind w:firstLine="720"/>
        <w:jc w:val="both"/>
      </w:pPr>
      <w:r>
        <w:rPr>
          <w:rFonts w:ascii="Georgia" w:cs="Georgia" w:eastAsia="Georgia" w:hAnsi="Georgia"/>
          <w:sz w:val="24"/>
          <w:szCs w:val="24"/>
        </w:rPr>
        <w:t xml:space="preserve">Maimuna’s interests — language learning, art, her cat, her connection to Japanese, Thai, and French culture — gave the poster its content. The design challenge was to assemble those elements into a composition that felt coherent rather than cluttered: a personality portrait rather than a collage.</w:t>
      </w:r>
    </w:p>
    <w:p>
      <w:pPr>
        <w:pStyle w:val="Heading2"/>
        <w:spacing w:after="140" w:before="300"/>
      </w:pPr>
      <w:r>
        <w:rPr>
          <w:rFonts w:ascii="Arial" w:cs="Arial" w:eastAsia="Arial" w:hAnsi="Arial"/>
          <w:b/>
          <w:bCs/>
          <w:color w:val="1A3A5C"/>
          <w:sz w:val="24"/>
          <w:szCs w:val="24"/>
        </w:rPr>
        <w:t xml:space="preserve">1.2 Design Decisions</w:t>
      </w:r>
    </w:p>
    <w:p>
      <w:pPr>
        <w:spacing w:after="200" w:line="360" w:lineRule="auto"/>
        <w:ind w:firstLine="720"/>
        <w:jc w:val="both"/>
      </w:pPr>
      <w:r>
        <w:rPr>
          <w:rFonts w:ascii="Georgia" w:cs="Georgia" w:eastAsia="Georgia" w:hAnsi="Georgia"/>
          <w:sz w:val="24"/>
          <w:szCs w:val="24"/>
        </w:rPr>
        <w:t xml:space="preserve">The poster uses a black background throughout. This was a deliberate choice rather than a default: black creates visual gravity and makes the other elements — the flags in the top third, the speech bubble, the yellow circle framing the subject’s photograph — read as discrete, deliberate objects rather than as a continuous surface. The eye moves between them rather than across them.</w:t>
      </w:r>
    </w:p>
    <w:p>
      <w:pPr>
        <w:spacing w:after="200" w:line="360" w:lineRule="auto"/>
        <w:ind w:firstLine="720"/>
        <w:jc w:val="both"/>
      </w:pPr>
      <w:r>
        <w:rPr>
          <w:rFonts w:ascii="Georgia" w:cs="Georgia" w:eastAsia="Georgia" w:hAnsi="Georgia"/>
          <w:sz w:val="24"/>
          <w:szCs w:val="24"/>
        </w:rPr>
        <w:t xml:space="preserve">The three national flags in the upper section — Japan, Thailand, France — are the first visual statement the poster makes. They establish Maimuna’s interest in languages before any text explains it. The Tennyson quotation on the left — ‘To strive, to seek, to find, and not to yield’ — is set in a handwritten-style typeface that contrasts with the geometric cleanliness of the flags. The contrast is intentional: the flags are about cultural interest, the quotation is about character.</w:t>
      </w:r>
    </w:p>
    <w:p>
      <w:pPr>
        <w:spacing w:after="200" w:line="360" w:lineRule="auto"/>
        <w:ind w:firstLine="720"/>
        <w:jc w:val="both"/>
      </w:pPr>
      <w:r>
        <w:rPr>
          <w:rFonts w:ascii="Georgia" w:cs="Georgia" w:eastAsia="Georgia" w:hAnsi="Georgia"/>
          <w:sz w:val="24"/>
          <w:szCs w:val="24"/>
        </w:rPr>
        <w:t xml:space="preserve">The speech bubble introduces ‘Meawmuna’ and the cat, playing on her name and her pet, using a warmer typeface within a yellow ellipse that matches the yellow circle in the lower section. The colour repetition creates a visual thread connecting the top and bottom of the poster without requiring a compositional line between them.</w:t>
      </w:r>
    </w:p>
    <w:p>
      <w:pPr>
        <w:spacing w:after="200" w:line="360" w:lineRule="auto"/>
        <w:ind w:firstLine="720"/>
        <w:jc w:val="both"/>
      </w:pPr>
      <w:r>
        <w:rPr>
          <w:rFonts w:ascii="Georgia" w:cs="Georgia" w:eastAsia="Georgia" w:hAnsi="Georgia"/>
          <w:sz w:val="24"/>
          <w:szCs w:val="24"/>
        </w:rPr>
        <w:t xml:space="preserve">The yellow circle framing Maimuna’s photograph works as both a design element and a conceptual one: it places the subject at the centre of her own interests rather than simply documenting her. The vertical ‘Maimuna’ text on the right, in a bold condensed typeface, anchors the right edge and creates a vertical counterweight to the horizontal flag strip at the top.</w:t>
      </w:r>
    </w:p>
    <w:p>
      <w:pPr>
        <w:spacing w:after="200" w:line="360" w:lineRule="auto"/>
        <w:ind w:firstLine="720"/>
        <w:jc w:val="both"/>
      </w:pPr>
      <w:r>
        <w:rPr>
          <w:rFonts w:ascii="Georgia" w:cs="Georgia" w:eastAsia="Georgia" w:hAnsi="Georgia"/>
          <w:sz w:val="24"/>
          <w:szCs w:val="24"/>
        </w:rPr>
        <w:t xml:space="preserve">The ‘art is life’ text in the lower left, set in a circular badge format, is the smallest typographic element in the poster. It is placed where it is because it is the most personal statement — not a performance of identity but a quiet one. Putting it small and in the corner was a deliberate choice not to oversell it.</w:t>
      </w:r>
    </w:p>
    <w:p>
      <w:pPr>
        <w:pStyle w:val="Heading2"/>
        <w:spacing w:after="140" w:before="300"/>
      </w:pPr>
      <w:r>
        <w:rPr>
          <w:rFonts w:ascii="Arial" w:cs="Arial" w:eastAsia="Arial" w:hAnsi="Arial"/>
          <w:b/>
          <w:bCs/>
          <w:color w:val="1A3A5C"/>
          <w:sz w:val="24"/>
          <w:szCs w:val="24"/>
        </w:rPr>
        <w:t xml:space="preserve">1.3 What the Exercise Taught</w:t>
      </w:r>
    </w:p>
    <w:p>
      <w:pPr>
        <w:spacing w:after="200" w:line="360" w:lineRule="auto"/>
        <w:ind w:firstLine="720"/>
        <w:jc w:val="both"/>
      </w:pPr>
      <w:r>
        <w:rPr>
          <w:rFonts w:ascii="Georgia" w:cs="Georgia" w:eastAsia="Georgia" w:hAnsi="Georgia"/>
          <w:sz w:val="24"/>
          <w:szCs w:val="24"/>
        </w:rPr>
        <w:t xml:space="preserve">The main technical learning was layer management and non-destructive editing — keeping each element on its own layer so that compositional decisions could be revised without rebuilding the whole piece. The main conceptual learning was about the difference between a portrait and a poster. A portrait records. A poster argues. Every element in a designed poster is making a claim about the subject, and the designer’s job is to make sure those claims are consistent with each other and with what they want to communicate. When they are not, the piece feels incoherent even to a viewer who cannot articulate why.</w:t>
      </w:r>
    </w:p>
    <w:p>
      <w:pPr>
        <w:spacing w:after="200" w:line="360" w:lineRule="auto"/>
        <w:ind w:firstLine="720"/>
        <w:jc w:val="both"/>
      </w:pPr>
      <w:r>
        <w:rPr>
          <w:rFonts w:ascii="Georgia" w:cs="Georgia" w:eastAsia="Georgia" w:hAnsi="Georgia"/>
          <w:sz w:val="24"/>
          <w:szCs w:val="24"/>
        </w:rPr>
        <w:t xml:space="preserve">The exercise also surfaced a limitation I did not fully anticipate: the gap between what I intended symbolically and what a viewer would read without explanation. The Tennyson quotation means something specific to me in relation to Maimuna. Whether it means anything to a viewer who does not know the context is a different question. That gap — between intended meaning and received meaning — became the central problem of the Trashion Show as well, at a much larger scale.</w:t>
      </w:r>
    </w:p>
    <w:p>
      <w:pPr>
        <w:spacing w:after="160"/>
      </w:pPr>
    </w:p>
    <w:p>
      <w:pPr>
        <w:spacing w:after="100"/>
        <w:jc w:val="center"/>
      </w:pPr>
      <w:r>
        <w:drawing>
          <wp:inline distT="0" distB="0" distL="0" distR="0">
            <wp:extent cx="2571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3695700"/>
                    </a:xfrm>
                    <a:prstGeom prst="rect">
                      <a:avLst/>
                    </a:prstGeom>
                  </pic:spPr>
                </pic:pic>
              </a:graphicData>
            </a:graphic>
          </wp:inline>
        </w:drawing>
      </w:r>
    </w:p>
    <w:p>
      <w:pPr>
        <w:spacing w:after="240"/>
        <w:jc w:val="center"/>
      </w:pPr>
      <w:r>
        <w:rPr>
          <w:rFonts w:ascii="Georgia" w:cs="Georgia" w:eastAsia="Georgia" w:hAnsi="Georgia"/>
          <w:i/>
          <w:iCs/>
          <w:color w:val="666666"/>
          <w:sz w:val="20"/>
          <w:szCs w:val="20"/>
        </w:rPr>
        <w:t xml:space="preserve">Fig. 1: Finished Photoshop portrait poster of Maimuna Nawar Rahman. Spring 2025.</w:t>
      </w:r>
    </w:p>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Part 2: Group Project — Fact Watch Trashion Show</w:t>
      </w:r>
    </w:p>
    <w:p>
      <w:pPr>
        <w:pStyle w:val="Heading2"/>
        <w:spacing w:after="140" w:before="300"/>
      </w:pPr>
      <w:r>
        <w:rPr>
          <w:rFonts w:ascii="Arial" w:cs="Arial" w:eastAsia="Arial" w:hAnsi="Arial"/>
          <w:b/>
          <w:bCs/>
          <w:color w:val="1A3A5C"/>
          <w:sz w:val="24"/>
          <w:szCs w:val="24"/>
        </w:rPr>
        <w:t xml:space="preserve">2.1 The Semester Theme and Our Interpretation</w:t>
      </w:r>
    </w:p>
    <w:p>
      <w:pPr>
        <w:spacing w:after="200" w:line="360" w:lineRule="auto"/>
        <w:ind w:firstLine="720"/>
        <w:jc w:val="both"/>
      </w:pPr>
      <w:r>
        <w:rPr>
          <w:rFonts w:ascii="Georgia" w:cs="Georgia" w:eastAsia="Georgia" w:hAnsi="Georgia"/>
          <w:sz w:val="24"/>
          <w:szCs w:val="24"/>
        </w:rPr>
        <w:t xml:space="preserve">The semester theme — ‘Unmasking Network Propaganda’ — was about how misinformation and disinformation spread through digital networks, how algorithms amplify content that provokes emotional response regardless of accuracy, and how repeated falsehoods acquire social credibility in environments designed for engagement rather than truth. This was directly connected to the research I was doing in other courses and in my independent journalism work. The theme felt personally urgent.</w:t>
      </w:r>
    </w:p>
    <w:p>
      <w:pPr>
        <w:spacing w:after="200" w:line="360" w:lineRule="auto"/>
        <w:ind w:firstLine="720"/>
        <w:jc w:val="both"/>
      </w:pPr>
      <w:r>
        <w:rPr>
          <w:rFonts w:ascii="Georgia" w:cs="Georgia" w:eastAsia="Georgia" w:hAnsi="Georgia"/>
          <w:sz w:val="24"/>
          <w:szCs w:val="24"/>
        </w:rPr>
        <w:t xml:space="preserve">The group’s decision to focus on fact-checkers rather than on propagandists was a deliberate interpretive choice, not a default. The propagandist-versus-fact-checker binary is narratively accessible — a clear conflict, a clear protagonist, a legible moral structure. It is also a simplification. Real fact-checking is slow, unglamorous, and structurally disadvantaged: corrections rarely achieve the reach of the misinformation they correct. The theatrical framing we chose imposed a clarity that the actual phenomenon does not have. That gap between narrative accessibility and analytical accuracy was the central conceptual tension of the project and we never fully resolved it. Whether we should have tried harder to resolve it, or whether accessibility was the right priority for a live performance format, is a question I am still working through.</w:t>
      </w:r>
    </w:p>
    <w:p>
      <w:pPr>
        <w:pStyle w:val="Heading2"/>
        <w:spacing w:after="140" w:before="300"/>
      </w:pPr>
      <w:r>
        <w:rPr>
          <w:rFonts w:ascii="Arial" w:cs="Arial" w:eastAsia="Arial" w:hAnsi="Arial"/>
          <w:b/>
          <w:bCs/>
          <w:color w:val="1A3A5C"/>
          <w:sz w:val="24"/>
          <w:szCs w:val="24"/>
        </w:rPr>
        <w:t xml:space="preserve">2.2 Production Process</w:t>
      </w:r>
    </w:p>
    <w:p>
      <w:pPr>
        <w:spacing w:after="200" w:line="360" w:lineRule="auto"/>
        <w:ind w:firstLine="720"/>
        <w:jc w:val="both"/>
      </w:pPr>
      <w:r>
        <w:rPr>
          <w:rFonts w:ascii="Georgia" w:cs="Georgia" w:eastAsia="Georgia" w:hAnsi="Georgia"/>
          <w:sz w:val="24"/>
          <w:szCs w:val="24"/>
        </w:rPr>
        <w:t xml:space="preserve">Material collection started immediately after the concept was finalised. We gathered whatever we could find: scrap cloth pieces, coconut shells, wooden sticks, metal objects, wires, nets, cork sheets, discarded electronics, coffee straws. Most of it was not used. The collection-before-selection approach turned out to be the right one — having more material than we needed gave us flexibility during design that we would not have had if we had collected only what we initially planned to use.</w:t>
      </w:r>
    </w:p>
    <w:p>
      <w:pPr>
        <w:spacing w:after="200" w:line="360" w:lineRule="auto"/>
        <w:ind w:firstLine="720"/>
        <w:jc w:val="both"/>
      </w:pPr>
      <w:r>
        <w:rPr>
          <w:rFonts w:ascii="Georgia" w:cs="Georgia" w:eastAsia="Georgia" w:hAnsi="Georgia"/>
          <w:sz w:val="24"/>
          <w:szCs w:val="24"/>
        </w:rPr>
        <w:t xml:space="preserve">The build happened in stages across multiple locations. We began at Prosonno’s house, preparing the base clothing and starting to attach materials. The designers then took the pieces home to work individually or in pairs, which was partly a spatial necessity — we all lived in different parts of the city — and partly a design risk: work done in isolation can lose coherence when it comes back together. We compensated by bringing the pieces back to campus at intervals, comparing them against each other, and making adjustments based on faculty feedback.</w:t>
      </w:r>
    </w:p>
    <w:p>
      <w:pPr>
        <w:spacing w:after="200" w:line="360" w:lineRule="auto"/>
        <w:ind w:firstLine="720"/>
        <w:jc w:val="both"/>
      </w:pPr>
      <w:r>
        <w:rPr>
          <w:rFonts w:ascii="Georgia" w:cs="Georgia" w:eastAsia="Georgia" w:hAnsi="Georgia"/>
          <w:sz w:val="24"/>
          <w:szCs w:val="24"/>
        </w:rPr>
        <w:t xml:space="preserve">I came into the project as portfolio maker and became manager when the original manager stepped back. The role shift was not planned and the transition was not clean. Managing a five-person team distributed across the city, with different schedules and different levels of availability, on a project with a fixed public performance date, is harder than it sounds when most of the coordination work is done through messages that get read at different times. What I learned about project management from this is mostly about what not to do: do not assume that agreement in a group conversation translates to completed action, do not rely on memory for task allocation, do not leave the question of who is responsible for what implicit.</w:t>
      </w:r>
    </w:p>
    <w:p>
      <w:pPr>
        <w:pStyle w:val="Heading2"/>
        <w:spacing w:after="140" w:before="300"/>
      </w:pPr>
      <w:r>
        <w:rPr>
          <w:rFonts w:ascii="Arial" w:cs="Arial" w:eastAsia="Arial" w:hAnsi="Arial"/>
          <w:b/>
          <w:bCs/>
          <w:color w:val="1A3A5C"/>
          <w:sz w:val="24"/>
          <w:szCs w:val="24"/>
        </w:rPr>
        <w:t xml:space="preserve">2.3 Improvisation and What Changed</w:t>
      </w:r>
    </w:p>
    <w:p>
      <w:pPr>
        <w:spacing w:after="200" w:line="360" w:lineRule="auto"/>
        <w:ind w:firstLine="720"/>
        <w:jc w:val="both"/>
      </w:pPr>
      <w:r>
        <w:rPr>
          <w:rFonts w:ascii="Georgia" w:cs="Georgia" w:eastAsia="Georgia" w:hAnsi="Georgia"/>
          <w:sz w:val="24"/>
          <w:szCs w:val="24"/>
        </w:rPr>
        <w:t xml:space="preserve">Three significant changes from the original plan are worth documenting because each one reveals something about the relationship between design intent and production reality.</w:t>
      </w:r>
    </w:p>
    <w:p>
      <w:pPr>
        <w:spacing w:after="200" w:line="360" w:lineRule="auto"/>
        <w:ind w:firstLine="720"/>
        <w:jc w:val="both"/>
      </w:pPr>
      <w:r>
        <w:rPr>
          <w:rFonts w:ascii="Georgia" w:cs="Georgia" w:eastAsia="Georgia" w:hAnsi="Georgia"/>
          <w:sz w:val="24"/>
          <w:szCs w:val="24"/>
        </w:rPr>
        <w:t xml:space="preserve">The TV-box headdress for the propagandist character was abandoned because we could not build it structurally in the available time and materials. This was the most symbolically loaded element in the original concept — it would have made explicit the connection between the character and media cacophony in a way the final costume could only imply. Losing it simplified the visual vocabulary of the piece.</w:t>
      </w:r>
    </w:p>
    <w:p>
      <w:pPr>
        <w:spacing w:after="200" w:line="360" w:lineRule="auto"/>
        <w:ind w:firstLine="720"/>
        <w:jc w:val="both"/>
      </w:pPr>
      <w:r>
        <w:rPr>
          <w:rFonts w:ascii="Georgia" w:cs="Georgia" w:eastAsia="Georgia" w:hAnsi="Georgia"/>
          <w:sz w:val="24"/>
          <w:szCs w:val="24"/>
        </w:rPr>
        <w:t xml:space="preserve">The illuminated halo for the fact-checker was replaced with natural ornamentation: seashells, peanut shells, leaves. The electronics we had access to were not reliable enough for a live performance. The substitution worked visually — the natural materials read as organic and grounded against the chaotic industrial materials of the propagandist — but it shifted the character from ‘technological counter-force’ to ‘natural purity,’ which is a different and arguably weaker argument about what fact-checking is.</w:t>
      </w:r>
    </w:p>
    <w:p>
      <w:pPr>
        <w:spacing w:after="200" w:line="360" w:lineRule="auto"/>
        <w:ind w:firstLine="720"/>
        <w:jc w:val="both"/>
      </w:pPr>
      <w:r>
        <w:rPr>
          <w:rFonts w:ascii="Georgia" w:cs="Georgia" w:eastAsia="Georgia" w:hAnsi="Georgia"/>
          <w:sz w:val="24"/>
          <w:szCs w:val="24"/>
        </w:rPr>
        <w:t xml:space="preserve">The ‘lies’ poster — a sheet of paper with the word written in large type — replaced a planned scattering of individual misinformation fragments across the stage. The change was practical: the fragments were impossible to manage in a live performance environment. The single poster was simpler and, as the audience feedback confirmed, more legible. Sometimes a constraint produces a better solution than the original plan.</w:t>
      </w:r>
    </w:p>
    <w:p>
      <w:pPr>
        <w:pBdr>
          <w:left w:val="single" w:color="1A3A5C" w:sz="12" w:space="14"/>
        </w:pBdr>
        <w:spacing w:after="200" w:before="160" w:line="280" w:lineRule="auto"/>
        <w:ind w:left="720" w:right="360"/>
        <w:jc w:val="left"/>
      </w:pPr>
      <w:r>
        <w:rPr>
          <w:rFonts w:ascii="Georgia" w:cs="Georgia" w:eastAsia="Georgia" w:hAnsi="Georgia"/>
          <w:i/>
          <w:iCs/>
          <w:color w:val="444444"/>
          <w:sz w:val="21"/>
          <w:szCs w:val="21"/>
        </w:rPr>
        <w:t xml:space="preserve">The male character got acrylic paint in his ear during the performance and spent two days unwell before having it washed out at a hospital. This is documented here because it was a real consequence of a preparation decision — using acrylic paint as face paint without adequate testing. It is a reminder that production decisions in live performance have physical consequences.</w:t>
      </w:r>
    </w:p>
    <w:p>
      <w:pPr>
        <w:pStyle w:val="Heading2"/>
        <w:spacing w:after="140" w:before="300"/>
      </w:pPr>
      <w:r>
        <w:rPr>
          <w:rFonts w:ascii="Arial" w:cs="Arial" w:eastAsia="Arial" w:hAnsi="Arial"/>
          <w:b/>
          <w:bCs/>
          <w:color w:val="1A3A5C"/>
          <w:sz w:val="24"/>
          <w:szCs w:val="24"/>
        </w:rPr>
        <w:t xml:space="preserve">2.4 The Performance and the Venue</w:t>
      </w:r>
    </w:p>
    <w:p>
      <w:pPr>
        <w:spacing w:after="200" w:line="360" w:lineRule="auto"/>
        <w:ind w:firstLine="720"/>
        <w:jc w:val="both"/>
      </w:pPr>
      <w:r>
        <w:rPr>
          <w:rFonts w:ascii="Georgia" w:cs="Georgia" w:eastAsia="Georgia" w:hAnsi="Georgia"/>
          <w:sz w:val="24"/>
          <w:szCs w:val="24"/>
        </w:rPr>
        <w:t xml:space="preserve">The show was held in the auditorium of the National Art Gallery at the Bangladesh Shilpakala Academy. The audience included students and faculty from ULAB’s MSJ department, students from other departments, journalists from several national outlets, and two distinguished guests: Quazi Nawshaba Ahmed and Mostofa Sarwar Farooki. The venue gave the show a professional register that a university auditorium would not have. The auditorium was, however, smaller than the audience warranted — some spectators had to stand outside. A larger space would have served the work better, though the intimacy of the crowded room also created a particular kind of energy.</w:t>
      </w:r>
    </w:p>
    <w:p>
      <w:pPr>
        <w:spacing w:after="200" w:line="360" w:lineRule="auto"/>
        <w:ind w:firstLine="720"/>
        <w:jc w:val="both"/>
      </w:pPr>
      <w:r>
        <w:rPr>
          <w:rFonts w:ascii="Georgia" w:cs="Georgia" w:eastAsia="Georgia" w:hAnsi="Georgia"/>
          <w:sz w:val="24"/>
          <w:szCs w:val="24"/>
        </w:rPr>
        <w:t xml:space="preserve">Our performance sequence: the propagandist enters with the ‘lies’ poster, performing the spread of misinformation through exaggerated, hysterical movement. The fact-checker enters, confronts him, takes the poster, and physically grounds him. The background narration provided the interpretive frame that the visual action alone did not fully supply. The applause was strong. What it measured — the performance, the costumes, the concept, or the accumulated tension of weeks of preparation — is impossible to separate cleanly.</w:t>
      </w:r>
    </w:p>
    <w:p>
      <w:pPr>
        <w:pStyle w:val="Heading2"/>
        <w:spacing w:after="140" w:before="300"/>
      </w:pPr>
      <w:r>
        <w:rPr>
          <w:rFonts w:ascii="Arial" w:cs="Arial" w:eastAsia="Arial" w:hAnsi="Arial"/>
          <w:b/>
          <w:bCs/>
          <w:color w:val="1A3A5C"/>
          <w:sz w:val="24"/>
          <w:szCs w:val="24"/>
        </w:rPr>
        <w:t xml:space="preserve">2.5 Audience Feedback Analysis</w:t>
      </w:r>
    </w:p>
    <w:p>
      <w:pPr>
        <w:spacing w:after="200" w:line="360" w:lineRule="auto"/>
        <w:ind w:firstLine="720"/>
        <w:jc w:val="both"/>
      </w:pPr>
      <w:r>
        <w:rPr>
          <w:rFonts w:ascii="Georgia" w:cs="Georgia" w:eastAsia="Georgia" w:hAnsi="Georgia"/>
          <w:sz w:val="24"/>
          <w:szCs w:val="24"/>
        </w:rPr>
        <w:t xml:space="preserve">Five audience members were interviewed after the performance. Their responses are instructive precisely because they were not uniform.</w:t>
      </w:r>
    </w:p>
    <w:p>
      <w:pPr>
        <w:spacing w:after="200" w:line="360" w:lineRule="auto"/>
        <w:ind w:firstLine="720"/>
        <w:jc w:val="both"/>
      </w:pPr>
      <w:r>
        <w:rPr>
          <w:rFonts w:ascii="Georgia" w:cs="Georgia" w:eastAsia="Georgia" w:hAnsi="Georgia"/>
          <w:sz w:val="24"/>
          <w:szCs w:val="24"/>
        </w:rPr>
        <w:t xml:space="preserve">Two of the five described the message as immediately clear. Three said it required some work to decode — either the performance itself or a second viewing of the video documentation. One faculty member (Sheriff Al Sire) was direct: the female character was underdeveloped and the role of the fact-checker was not clear from the visual storytelling alone. The narration carried the interpretive load that the costume design and performance should have carried independently.</w:t>
      </w:r>
    </w:p>
    <w:p>
      <w:pPr>
        <w:spacing w:after="200" w:line="360" w:lineRule="auto"/>
        <w:ind w:firstLine="720"/>
        <w:jc w:val="both"/>
      </w:pPr>
      <w:r>
        <w:rPr>
          <w:rFonts w:ascii="Georgia" w:cs="Georgia" w:eastAsia="Georgia" w:hAnsi="Georgia"/>
          <w:sz w:val="24"/>
          <w:szCs w:val="24"/>
        </w:rPr>
        <w:t xml:space="preserve">This is the most substantive critique the project received and it is accurate. The propagandist character was visually and performatively stronger than the fact-checker. He had more material density, more dynamic movement, more stage presence. The fact-checker’s costume — the natural materials, the seashells — was quieter and more restrained, which was conceptually intentional but theatrically weaker. In a live performance format, quieter restraint requires a level of control and intentionality that our rehearsal time did not allow us to develop.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4F7FB" w:val="clear"/>
            <w:tcMar>
              <w:top w:type="dxa" w:w="160"/>
              <w:left w:type="dxa" w:w="280"/>
              <w:bottom w:type="dxa" w:w="160"/>
              <w:right w:type="dxa" w:w="280"/>
            </w:tcMar>
          </w:tcPr>
          <w:p>
            <w:pPr>
              <w:spacing w:after="100"/>
            </w:pPr>
            <w:r>
              <w:rPr>
                <w:rFonts w:ascii="Arial" w:cs="Arial" w:eastAsia="Arial" w:hAnsi="Arial"/>
                <w:b/>
                <w:bCs/>
                <w:color w:val="1A3A5C"/>
                <w:sz w:val="20"/>
                <w:szCs w:val="20"/>
              </w:rPr>
              <w:t xml:space="preserve">Feedback Summary</w:t>
            </w:r>
          </w:p>
          <w:p>
            <w:pPr>
              <w:spacing w:after="80"/>
            </w:pPr>
            <w:r>
              <w:rPr>
                <w:rFonts w:ascii="Georgia" w:cs="Georgia" w:eastAsia="Georgia" w:hAnsi="Georgia"/>
                <w:sz w:val="20"/>
                <w:szCs w:val="20"/>
              </w:rPr>
              <w:t xml:space="preserve">Interviewee 1 (MSJ student): Message clear; suggested fact-checker costume could be bolder and more luminous.</w:t>
            </w:r>
          </w:p>
          <w:p>
            <w:pPr>
              <w:spacing w:after="80"/>
            </w:pPr>
            <w:r>
              <w:rPr>
                <w:rFonts w:ascii="Georgia" w:cs="Georgia" w:eastAsia="Georgia" w:hAnsi="Georgia"/>
                <w:sz w:val="20"/>
                <w:szCs w:val="20"/>
              </w:rPr>
              <w:t xml:space="preserve">Interviewee 2 (Newsroom Editor, The Business Standard): Initially unclear, then clear through the performance. Positive overall assessment.</w:t>
            </w:r>
          </w:p>
          <w:p>
            <w:pPr>
              <w:spacing w:after="80"/>
            </w:pPr>
            <w:r>
              <w:rPr>
                <w:rFonts w:ascii="Georgia" w:cs="Georgia" w:eastAsia="Georgia" w:hAnsi="Georgia"/>
                <w:sz w:val="20"/>
                <w:szCs w:val="20"/>
              </w:rPr>
              <w:t xml:space="preserve">Interviewee 3 (Part-time faculty, ULAB): Artistically watchable; fact-checker role not visually self-evident; narration compensated for costume design gap.</w:t>
            </w:r>
          </w:p>
          <w:p>
            <w:pPr>
              <w:spacing w:after="80"/>
            </w:pPr>
            <w:r>
              <w:rPr>
                <w:rFonts w:ascii="Georgia" w:cs="Georgia" w:eastAsia="Georgia" w:hAnsi="Georgia"/>
                <w:sz w:val="20"/>
                <w:szCs w:val="20"/>
              </w:rPr>
              <w:t xml:space="preserve">Interviewee 4 (ULAB student): Message clear on second viewing; performance sequence and props (the ‘lies’ poster) were the most legible elements.</w:t>
            </w:r>
          </w:p>
          <w:p>
            <w:pPr>
              <w:spacing w:after="80"/>
            </w:pPr>
            <w:r>
              <w:rPr>
                <w:rFonts w:ascii="Georgia" w:cs="Georgia" w:eastAsia="Georgia" w:hAnsi="Georgia"/>
                <w:sz w:val="20"/>
                <w:szCs w:val="20"/>
              </w:rPr>
              <w:t xml:space="preserve">Interviewee 5 (Development professional, international NGO): Strong emotional response; suggested a brief spoken or written narrative at the beginning or end would close the interpretive gap for wider audiences.</w:t>
            </w:r>
          </w:p>
        </w:tc>
      </w:tr>
    </w:tbl>
    <w:p>
      <w:pPr>
        <w:spacing w:after="160"/>
      </w:pPr>
    </w:p>
    <w:p>
      <w:pPr>
        <w:pStyle w:val="Heading2"/>
        <w:spacing w:after="140" w:before="300"/>
      </w:pPr>
      <w:r>
        <w:rPr>
          <w:rFonts w:ascii="Arial" w:cs="Arial" w:eastAsia="Arial" w:hAnsi="Arial"/>
          <w:b/>
          <w:bCs/>
          <w:color w:val="1A3A5C"/>
          <w:sz w:val="24"/>
          <w:szCs w:val="24"/>
        </w:rPr>
        <w:t xml:space="preserve">2.6 What I Would Do Differently</w:t>
      </w:r>
    </w:p>
    <w:p>
      <w:pPr>
        <w:spacing w:after="200" w:line="360" w:lineRule="auto"/>
        <w:ind w:firstLine="720"/>
        <w:jc w:val="both"/>
      </w:pPr>
      <w:r>
        <w:rPr>
          <w:rFonts w:ascii="Georgia" w:cs="Georgia" w:eastAsia="Georgia" w:hAnsi="Georgia"/>
          <w:sz w:val="24"/>
          <w:szCs w:val="24"/>
        </w:rPr>
        <w:t xml:space="preserve">Start earlier. We did not have enough rehearsal time and it showed in the performance, at least to me. The costume work absorbed most of the available time and the performance itself was under-rehearsed relative to the visual production.</w:t>
      </w:r>
    </w:p>
    <w:p>
      <w:pPr>
        <w:spacing w:after="200" w:line="360" w:lineRule="auto"/>
        <w:ind w:firstLine="720"/>
        <w:jc w:val="both"/>
      </w:pPr>
      <w:r>
        <w:rPr>
          <w:rFonts w:ascii="Georgia" w:cs="Georgia" w:eastAsia="Georgia" w:hAnsi="Georgia"/>
          <w:sz w:val="24"/>
          <w:szCs w:val="24"/>
        </w:rPr>
        <w:t xml:space="preserve">Develop the fact-checker character more specifically. The propagandist had a clear visual and performance logic. The fact-checker did not. If the central argument of the piece was that fact-checkers matter — that they are the active agents who push back against misinformation — then the fact-checker needed to be the more visually and performatively compelling figure, not the secondary one. We inverted this.</w:t>
      </w:r>
    </w:p>
    <w:p>
      <w:pPr>
        <w:spacing w:after="200" w:line="360" w:lineRule="auto"/>
        <w:ind w:firstLine="720"/>
        <w:jc w:val="both"/>
      </w:pPr>
      <w:r>
        <w:rPr>
          <w:rFonts w:ascii="Georgia" w:cs="Georgia" w:eastAsia="Georgia" w:hAnsi="Georgia"/>
          <w:sz w:val="24"/>
          <w:szCs w:val="24"/>
        </w:rPr>
        <w:t xml:space="preserve">Test materials before committing them to a live performance. The acrylic paint incident was avoidable.</w:t>
      </w:r>
    </w:p>
    <w:p>
      <w:pPr>
        <w:spacing w:after="200" w:line="360" w:lineRule="auto"/>
        <w:ind w:firstLine="720"/>
        <w:jc w:val="both"/>
      </w:pPr>
      <w:r>
        <w:rPr>
          <w:rFonts w:ascii="Georgia" w:cs="Georgia" w:eastAsia="Georgia" w:hAnsi="Georgia"/>
          <w:sz w:val="24"/>
          <w:szCs w:val="24"/>
        </w:rPr>
        <w:t xml:space="preserve">Collect from more varied sources. Most of our ‘trash’ was cloth pieces, which gave the costumes a particular aesthetic register. Materials with more varied texture and provenance — metal, plastic, paper, organic material — would have produced richer visual complexity.</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Conclusion: What This Course Taught Me About Convergent Communication</w:t>
      </w:r>
    </w:p>
    <w:p>
      <w:pPr>
        <w:spacing w:after="200" w:line="360" w:lineRule="auto"/>
        <w:ind w:firstLine="720"/>
        <w:jc w:val="both"/>
      </w:pPr>
      <w:r>
        <w:rPr>
          <w:rFonts w:ascii="Georgia" w:cs="Georgia" w:eastAsia="Georgia" w:hAnsi="Georgia"/>
          <w:sz w:val="24"/>
          <w:szCs w:val="24"/>
        </w:rPr>
        <w:t xml:space="preserve">The Photoshop exercise and the Trashion Show are more connected than they first appear. Both asked the same question in different formats: how do you translate a set of ideas about a person or a phenomenon into visual and material form, and how much of the intended meaning actually reaches the audience without being explained?</w:t>
      </w:r>
    </w:p>
    <w:p>
      <w:pPr>
        <w:spacing w:after="200" w:line="360" w:lineRule="auto"/>
        <w:ind w:firstLine="720"/>
        <w:jc w:val="both"/>
      </w:pPr>
      <w:r>
        <w:rPr>
          <w:rFonts w:ascii="Georgia" w:cs="Georgia" w:eastAsia="Georgia" w:hAnsi="Georgia"/>
          <w:sz w:val="24"/>
          <w:szCs w:val="24"/>
        </w:rPr>
        <w:t xml:space="preserve">In the Photoshop poster, the gap between intended and received meaning was relatively small because the format is static, individual, and can be examined at length. In the Trashion Show, the same gap was larger because the format is live, collective, time-constrained, and competes for attention with ten other performances in the same evening. The narration we used to close the gap was the right pragmatic decision for the circumstances. But it was also an admission that the visual communication had not done its full job.</w:t>
      </w:r>
    </w:p>
    <w:p>
      <w:pPr>
        <w:spacing w:after="200" w:line="360" w:lineRule="auto"/>
        <w:ind w:firstLine="720"/>
        <w:jc w:val="both"/>
      </w:pPr>
      <w:r>
        <w:rPr>
          <w:rFonts w:ascii="Georgia" w:cs="Georgia" w:eastAsia="Georgia" w:hAnsi="Georgia"/>
          <w:sz w:val="24"/>
          <w:szCs w:val="24"/>
        </w:rPr>
        <w:t xml:space="preserve">The most useful thing I take from both projects is a specific question to ask at the design stage: if I removed the explanation, what would remain? In the poster, quite a lot remains. In the Trashion Show, the propagandist’s character remains clearly, the fact-checker’s less so. That asymmetry in legibility is the clearest indicator of where the design succeeded and where it did not. I want to take that question into every subsequent production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28"/>
      <w:szCs w:val="28"/>
    </w:rPr>
  </w:style>
  <w:style w:type="paragraph" w:styleId="Heading2">
    <w:name w:val="Heading 2"/>
    <w:basedOn w:val="Normal"/>
    <w:next w:val="Normal"/>
    <w:qFormat/>
    <w:pPr>
      <w:spacing w:after="14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e246c37567bea166eeedf864807f3032cca6a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2026-05-20T02:59:22.508Z</dcterms:created>
  <dcterms:modified xsi:type="dcterms:W3CDTF">2026-05-20T02:59:22.524Z</dcterms:modified>
</cp:coreProperties>
</file>

<file path=docProps/custom.xml><?xml version="1.0" encoding="utf-8"?>
<Properties xmlns="http://schemas.openxmlformats.org/officeDocument/2006/custom-properties" xmlns:vt="http://schemas.openxmlformats.org/officeDocument/2006/docPropsVTypes"/>
</file>