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80"/>
        <w:jc w:val="left"/>
      </w:pPr>
      <w:r>
        <w:rPr>
          <w:rFonts w:ascii="Arial" w:cs="Arial" w:eastAsia="Arial" w:hAnsi="Arial"/>
          <w:caps/>
          <w:color w:val="888888"/>
          <w:sz w:val="22"/>
          <w:szCs w:val="22"/>
        </w:rPr>
        <w:t xml:space="preserve">Video Project Brief — Environmental Science</w:t>
      </w:r>
    </w:p>
    <w:p>
      <w:pPr>
        <w:spacing w:after="80" w:before="0"/>
        <w:jc w:val="left"/>
      </w:pPr>
      <w:r>
        <w:rPr>
          <w:rFonts w:ascii="Arial" w:cs="Arial" w:eastAsia="Arial" w:hAnsi="Arial"/>
          <w:b/>
          <w:bCs/>
          <w:sz w:val="36"/>
          <w:szCs w:val="36"/>
        </w:rPr>
        <w:t xml:space="preserve">Building a Crisis</w:t>
      </w:r>
    </w:p>
    <w:p>
      <w:pPr>
        <w:spacing w:after="360" w:before="0"/>
        <w:jc w:val="left"/>
      </w:pPr>
      <w:r>
        <w:rPr>
          <w:rFonts w:ascii="Arial" w:cs="Arial" w:eastAsia="Arial" w:hAnsi="Arial"/>
          <w:i/>
          <w:iCs/>
          <w:sz w:val="24"/>
          <w:szCs w:val="24"/>
        </w:rPr>
        <w:t xml:space="preserve">A news-style video package on construction-driven air pollution in Dhaka</w:t>
      </w:r>
    </w:p>
    <w:p>
      <w:pPr>
        <w:spacing w:after="80"/>
      </w:pPr>
      <w:r>
        <w:rPr>
          <w:rFonts w:ascii="Georgia" w:cs="Georgia" w:eastAsia="Georgia" w:hAnsi="Georgia"/>
          <w:i/>
          <w:iCs/>
          <w:sz w:val="22"/>
          <w:szCs w:val="22"/>
        </w:rPr>
        <w:t xml:space="preserve">NSC2283: Environmental Science  —  University of Liberal Arts Bangladesh</w:t>
      </w:r>
    </w:p>
    <w:p>
      <w:pPr>
        <w:spacing w:after="340"/>
      </w:pPr>
      <w:r>
        <w:rPr>
          <w:rFonts w:ascii="Georgia" w:cs="Georgia" w:eastAsia="Georgia" w:hAnsi="Georgia"/>
          <w:i/>
          <w:iCs/>
          <w:color w:val="555555"/>
          <w:sz w:val="22"/>
          <w:szCs w:val="22"/>
        </w:rPr>
        <w:t xml:space="preserve">Group: Climate Catalysts  —  brief and production notes by Md. Miraz Hossain (233012010)</w:t>
      </w:r>
    </w:p>
    <w:p>
      <w:pPr>
        <w:pBdr>
          <w:bottom w:val="single" w:color="BBBBBB" w:sz="4" w:space="1"/>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4B" w:sz="6"/>
              <w:left w:val="single" w:color="C9A24B" w:sz="6"/>
              <w:bottom w:val="single" w:color="C9A24B" w:sz="6"/>
              <w:right w:val="single" w:color="C9A24B" w:sz="6"/>
            </w:tcBorders>
            <w:shd w:fill="FBF6EC" w:val="clear"/>
            <w:tcMar>
              <w:top w:type="dxa" w:w="200"/>
              <w:left w:type="dxa" w:w="300"/>
              <w:bottom w:type="dxa" w:w="200"/>
              <w:right w:type="dxa" w:w="300"/>
            </w:tcMar>
          </w:tcPr>
          <w:p>
            <w:pPr>
              <w:spacing w:after="120"/>
            </w:pPr>
            <w:r>
              <w:rPr>
                <w:rFonts w:ascii="Arial" w:cs="Arial" w:eastAsia="Arial" w:hAnsi="Arial"/>
                <w:b/>
                <w:bCs/>
                <w:color w:val="8A6D1F"/>
                <w:sz w:val="20"/>
                <w:szCs w:val="20"/>
              </w:rPr>
              <w:t xml:space="preserve">Portfolio note</w:t>
            </w:r>
          </w:p>
          <w:p>
            <w:pPr>
              <w:spacing w:after="120" w:line="320" w:lineRule="auto"/>
            </w:pPr>
            <w:r>
              <w:rPr>
                <w:rFonts w:ascii="Georgia" w:cs="Georgia" w:eastAsia="Georgia" w:hAnsi="Georgia"/>
                <w:sz w:val="21"/>
                <w:szCs w:val="21"/>
              </w:rPr>
              <w:t xml:space="preserve">Construction Pollution in Dhaka is a group video project made for Environmental Science by the team “Climate Catalysts.” My role was the production core: I shot and edited the package, wrote the script, and arranged and conducted the expert interview that anchors it. This document is the project brief — it explains what the package set out to do, the environmental science behind it, and how the team built it. The video itself is the primary artefact and is linked below.</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D3A" w:sz="8"/>
              <w:left w:val="single" w:color="1F4D3A" w:sz="8"/>
              <w:bottom w:val="single" w:color="1F4D3A" w:sz="8"/>
              <w:right w:val="single" w:color="1F4D3A" w:sz="8"/>
            </w:tcBorders>
            <w:shd w:fill="EEF4F0" w:val="clear"/>
            <w:tcMar>
              <w:top w:type="dxa" w:w="220"/>
              <w:left w:type="dxa" w:w="300"/>
              <w:bottom w:type="dxa" w:w="220"/>
              <w:right w:type="dxa" w:w="300"/>
            </w:tcMar>
          </w:tcPr>
          <w:p>
            <w:pPr>
              <w:spacing w:after="120"/>
            </w:pPr>
            <w:r>
              <w:rPr>
                <w:rFonts w:ascii="Arial" w:cs="Arial" w:eastAsia="Arial" w:hAnsi="Arial"/>
                <w:b/>
                <w:bCs/>
                <w:color w:val="1F4D3A"/>
                <w:sz w:val="22"/>
                <w:szCs w:val="22"/>
              </w:rPr>
              <w:t xml:space="preserve">▶  WATCH THE PACKAGE</w:t>
            </w:r>
          </w:p>
          <w:p>
            <w:pPr>
              <w:spacing w:after="0" w:line="320" w:lineRule="auto"/>
            </w:pPr>
            <w:r>
              <w:rPr>
                <w:rFonts w:ascii="Georgia" w:cs="Georgia" w:eastAsia="Georgia" w:hAnsi="Georgia"/>
                <w:sz w:val="21"/>
                <w:szCs w:val="21"/>
              </w:rPr>
              <w:t xml:space="preserve">Construction Pollution in Dhaka  —  a news-style video package by Climate Catalysts. </w:t>
            </w:r>
            <w:hyperlink w:history="1" r:id="rIds5i8ejmz3gdqefbmvrlq-">
              <w:r>
                <w:rPr>
                  <w:rFonts w:ascii="Georgia" w:cs="Georgia" w:eastAsia="Georgia" w:hAnsi="Georgia"/>
                  <w:color w:val="0563C1"/>
                  <w:sz w:val="21"/>
                  <w:szCs w:val="21"/>
                  <w:u w:val="single"/>
                </w:rPr>
                <w:t xml:space="preserve">View on Google Drive</w:t>
              </w:r>
            </w:hyperlink>
          </w:p>
        </w:tc>
      </w:tr>
    </w:tbl>
    <w:p>
      <w:pPr>
        <w:spacing w:after="160"/>
      </w:pPr>
    </w:p>
    <w:p>
      <w:pPr>
        <w:pStyle w:val="Heading1"/>
        <w:spacing w:after="180" w:before="420"/>
      </w:pPr>
      <w:r>
        <w:rPr>
          <w:rFonts w:ascii="Arial" w:cs="Arial" w:eastAsia="Arial" w:hAnsi="Arial"/>
          <w:b/>
          <w:bCs/>
          <w:sz w:val="27"/>
          <w:szCs w:val="27"/>
        </w:rPr>
        <w:t xml:space="preserve">The brief</w:t>
      </w:r>
    </w:p>
    <w:p>
      <w:pPr>
        <w:spacing w:after="200" w:line="360" w:lineRule="auto"/>
        <w:ind w:firstLine="720"/>
        <w:jc w:val="both"/>
      </w:pPr>
      <w:r>
        <w:rPr>
          <w:rFonts w:ascii="Georgia" w:cs="Georgia" w:eastAsia="Georgia" w:hAnsi="Georgia"/>
          <w:sz w:val="24"/>
          <w:szCs w:val="24"/>
        </w:rPr>
        <w:t xml:space="preserve">Dhaka’s air is among the worst of any major city on earth, and the public conversation about why tends to fixate on a single culprit: the brick kilns ringing the city. Our package set out to widen that frame to a source that is everywhere in the city yet rarely named as pollution — the construction boom itself. Dhaka is being rebuilt continuously, and the dust thrown up by that rebuilding, the broken roads around every site, the demolition debris, and the uncovered trucks of sand and aggregate are a daily, street-level contributor to what residents breathe. We wanted to make that visible, because dust is the kind of pollution people walk through without registering it as harm.</w:t>
      </w:r>
    </w:p>
    <w:p>
      <w:pPr>
        <w:spacing w:after="200" w:line="360" w:lineRule="auto"/>
        <w:ind w:firstLine="720"/>
        <w:jc w:val="both"/>
      </w:pPr>
      <w:r>
        <w:rPr>
          <w:rFonts w:ascii="Georgia" w:cs="Georgia" w:eastAsia="Georgia" w:hAnsi="Georgia"/>
          <w:sz w:val="24"/>
          <w:szCs w:val="24"/>
        </w:rPr>
        <w:t xml:space="preserve">A news-style package was the right form for that goal. Rather than narrating the problem in the abstract, the package takes the viewer to where construction meets the street, pairs those images with an expert who can explain the science, and keeps the runtime tight enough to hold a general audience. The aim was journalism, not lecture: show the thing, let an authority interpret it, and leave the viewer understanding a source of harm they had stopped noticing.</w:t>
      </w:r>
    </w:p>
    <w:p>
      <w:pPr>
        <w:pStyle w:val="Heading1"/>
        <w:spacing w:after="180" w:before="420"/>
      </w:pPr>
      <w:r>
        <w:rPr>
          <w:rFonts w:ascii="Arial" w:cs="Arial" w:eastAsia="Arial" w:hAnsi="Arial"/>
          <w:b/>
          <w:bCs/>
          <w:sz w:val="27"/>
          <w:szCs w:val="27"/>
        </w:rPr>
        <w:t xml:space="preserve">The environmental science behind it</w:t>
      </w:r>
    </w:p>
    <w:p>
      <w:pPr>
        <w:spacing w:after="200" w:line="360" w:lineRule="auto"/>
        <w:ind w:firstLine="720"/>
        <w:jc w:val="both"/>
      </w:pPr>
      <w:r>
        <w:rPr>
          <w:rFonts w:ascii="Georgia" w:cs="Georgia" w:eastAsia="Georgia" w:hAnsi="Georgia"/>
          <w:sz w:val="24"/>
          <w:szCs w:val="24"/>
        </w:rPr>
        <w:t xml:space="preserve">The package rests on a settled scientific picture. Dhaka’s fine particulate pollution — PM2.5, particles small enough to lodge deep in the lungs and cross into the bloodstream — sits many times above the World Health Organization guideline. In 2024 the city’s annual average PM2.5 concentration was around 78 micrograms per cubic metre, roughly fifteen times the WHO annual guideline of 5, and during the dry winter weeks of early 2025 Dhaka repeatedly ranked first in the world for air pollution (IQAir, 2025; The Daily Star, 2025). The health stakes are not abstract: the WHO links air pollution of this kind to millions of premature deaths a year through stroke, heart disease, lung cancer, and respiratory illness.</w:t>
      </w:r>
    </w:p>
    <w:p>
      <w:pPr>
        <w:spacing w:after="200" w:line="360" w:lineRule="auto"/>
        <w:ind w:firstLine="720"/>
        <w:jc w:val="both"/>
      </w:pPr>
      <w:r>
        <w:rPr>
          <w:rFonts w:ascii="Georgia" w:cs="Georgia" w:eastAsia="Georgia" w:hAnsi="Georgia"/>
          <w:sz w:val="24"/>
          <w:szCs w:val="24"/>
        </w:rPr>
        <w:t xml:space="preserve">Construction sits squarely among the named sources. Source apportionment of Dhaka’s PM2.5 consistently lists construction and road dust alongside brick kilns, vehicle exhaust, and household solid-fuel burning, and the city’s geology makes the problem worse — Dhaka is built on river-delta sand and fine sediment that is easily lifted and resuspended whenever ground is broken (Ecohubmap, n.d.; IQAir, 2025). Poorly managed sites add coarse PM10 and silica dust, which carries its own long-term respiratory risk. Large infrastructure works, including the metro rail and elevated expressway, have been flagged as significant ongoing dust sources. The seasonal pattern compounds it: construction picks up in the cool, dry winter, exactly when low winds and temperature inversions trap pollutants close to the ground and prevent them dispersing. The package uses this framing — construction as a major, under-acknowledged, and seasonally amplified PM source — as its factual spine.</w:t>
      </w:r>
    </w:p>
    <w:p>
      <w:pPr>
        <w:pStyle w:val="Heading1"/>
        <w:spacing w:after="180" w:before="420"/>
      </w:pPr>
      <w:r>
        <w:rPr>
          <w:rFonts w:ascii="Arial" w:cs="Arial" w:eastAsia="Arial" w:hAnsi="Arial"/>
          <w:b/>
          <w:bCs/>
          <w:sz w:val="27"/>
          <w:szCs w:val="27"/>
        </w:rPr>
        <w:t xml:space="preserve">The expert interview</w:t>
      </w:r>
    </w:p>
    <w:p>
      <w:pPr>
        <w:spacing w:after="200" w:line="360" w:lineRule="auto"/>
        <w:ind w:firstLine="720"/>
        <w:jc w:val="both"/>
      </w:pPr>
      <w:r>
        <w:rPr>
          <w:rFonts w:ascii="Georgia" w:cs="Georgia" w:eastAsia="Georgia" w:hAnsi="Georgia"/>
          <w:sz w:val="24"/>
          <w:szCs w:val="24"/>
        </w:rPr>
        <w:t xml:space="preserve">Arranging and conducting the expert interview was the part of the production I led most directly, because a package like this lives or dies on whether a credible authority is willing to put the science on record in plain language. The interview gives the package its backbone: it lets the team move from showing dust to explaining why that dust matters — what the particles are, how they enter the body, and why a construction site without dust control is a public-health problem and not just an eyesore. Fixing that interview, briefing the expert on what the package needed, and shaping the questions so the answers would cut cleanly into a short news format was the journalistic core of my contribution.</w:t>
      </w:r>
    </w:p>
    <w:p>
      <w:pPr>
        <w:pStyle w:val="Heading1"/>
        <w:spacing w:after="180" w:before="420"/>
      </w:pPr>
      <w:r>
        <w:rPr>
          <w:rFonts w:ascii="Arial" w:cs="Arial" w:eastAsia="Arial" w:hAnsi="Arial"/>
          <w:b/>
          <w:bCs/>
          <w:sz w:val="27"/>
          <w:szCs w:val="27"/>
        </w:rPr>
        <w:t xml:space="preserve">Production: my role</w:t>
      </w:r>
    </w:p>
    <w:p>
      <w:pPr>
        <w:spacing w:after="200" w:line="360" w:lineRule="auto"/>
        <w:ind w:firstLine="720"/>
        <w:jc w:val="both"/>
      </w:pPr>
      <w:r>
        <w:rPr>
          <w:rFonts w:ascii="Georgia" w:cs="Georgia" w:eastAsia="Georgia" w:hAnsi="Georgia"/>
          <w:sz w:val="24"/>
          <w:szCs w:val="24"/>
        </w:rPr>
        <w:t xml:space="preserve">My responsibility was the production pipeline from camera to cut. I shot the footage — the construction sites, the street-level dust, the broader cityscape that situates the problem — with the package’s argument in mind, so that the images would carry the point rather than merely illustrate a voiceover. I wrote the script, which for a news package means structuring the information so a viewer with no background follows the line from problem to cause to consequence without losing the thread. And I edited the package, cutting the footage and the interview together into a piece paced for a general audience. The discipline a short package demands — deciding what to cut, how long to hold a shot, where the expert’s words should land — is the same editorial judgment I use in long-form print journalism, applied to a different medium.</w:t>
      </w:r>
    </w:p>
    <w:p>
      <w:pPr>
        <w:spacing w:after="160"/>
      </w:pPr>
    </w:p>
    <w:p>
      <w:pPr>
        <w:pStyle w:val="Heading1"/>
        <w:spacing w:after="180" w:before="420"/>
      </w:pPr>
      <w:r>
        <w:rPr>
          <w:rFonts w:ascii="Arial" w:cs="Arial" w:eastAsia="Arial" w:hAnsi="Arial"/>
          <w:b/>
          <w:bCs/>
          <w:sz w:val="27"/>
          <w:szCs w:val="27"/>
        </w:rPr>
        <w:t xml:space="preserve">Team and credits</w:t>
      </w:r>
    </w:p>
    <w:p>
      <w:pPr>
        <w:spacing w:after="200" w:line="360" w:lineRule="auto"/>
        <w:ind w:firstLine="720"/>
        <w:jc w:val="both"/>
      </w:pPr>
      <w:r>
        <w:rPr>
          <w:rFonts w:ascii="Georgia" w:cs="Georgia" w:eastAsia="Georgia" w:hAnsi="Georgia"/>
          <w:sz w:val="24"/>
          <w:szCs w:val="24"/>
        </w:rPr>
        <w:t xml:space="preserve">Construction Pollution in Dhaka was a four-person group project. The full team, with departments and roles: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60"/>
        <w:gridCol w:w="4200"/>
      </w:tblGrid>
      <w:tr>
        <w:trPr>
          <w:tblHeader/>
        </w:trPr>
        <w:tc>
          <w:tcPr>
            <w:tcW w:type="dxa" w:w="3000"/>
            <w:tcBorders>
              <w:top w:val="single" w:color="AAAAAA" w:sz="4"/>
              <w:left w:val="single" w:color="AAAAAA" w:sz="4"/>
              <w:bottom w:val="single" w:color="AAAAAA" w:sz="4"/>
              <w:right w:val="single" w:color="AAAAAA" w:sz="4"/>
            </w:tcBorders>
            <w:shd w:fill="1F4D3A" w:val="clear"/>
            <w:tcMar>
              <w:top w:type="dxa" w:w="110"/>
              <w:left w:type="dxa" w:w="130"/>
              <w:bottom w:type="dxa" w:w="110"/>
              <w:right w:type="dxa" w:w="130"/>
            </w:tcMar>
          </w:tcPr>
          <w:p>
            <w:pPr>
              <w:spacing w:after="0"/>
            </w:pPr>
            <w:r>
              <w:rPr>
                <w:rFonts w:ascii="Arial" w:cs="Arial" w:eastAsia="Arial" w:hAnsi="Arial"/>
                <w:b/>
                <w:bCs/>
                <w:color w:val="FFFFFF"/>
                <w:sz w:val="18"/>
                <w:szCs w:val="18"/>
              </w:rPr>
              <w:t xml:space="preserve">Member</w:t>
            </w:r>
          </w:p>
        </w:tc>
        <w:tc>
          <w:tcPr>
            <w:tcW w:type="dxa" w:w="2160"/>
            <w:tcBorders>
              <w:top w:val="single" w:color="AAAAAA" w:sz="4"/>
              <w:left w:val="single" w:color="AAAAAA" w:sz="4"/>
              <w:bottom w:val="single" w:color="AAAAAA" w:sz="4"/>
              <w:right w:val="single" w:color="AAAAAA" w:sz="4"/>
            </w:tcBorders>
            <w:shd w:fill="1F4D3A" w:val="clear"/>
            <w:tcMar>
              <w:top w:type="dxa" w:w="110"/>
              <w:left w:type="dxa" w:w="130"/>
              <w:bottom w:type="dxa" w:w="110"/>
              <w:right w:type="dxa" w:w="130"/>
            </w:tcMar>
          </w:tcPr>
          <w:p>
            <w:pPr>
              <w:spacing w:after="0"/>
            </w:pPr>
            <w:r>
              <w:rPr>
                <w:rFonts w:ascii="Arial" w:cs="Arial" w:eastAsia="Arial" w:hAnsi="Arial"/>
                <w:b/>
                <w:bCs/>
                <w:color w:val="FFFFFF"/>
                <w:sz w:val="18"/>
                <w:szCs w:val="18"/>
              </w:rPr>
              <w:t xml:space="preserve">Department</w:t>
            </w:r>
          </w:p>
        </w:tc>
        <w:tc>
          <w:tcPr>
            <w:tcW w:type="dxa" w:w="4200"/>
            <w:tcBorders>
              <w:top w:val="single" w:color="AAAAAA" w:sz="4"/>
              <w:left w:val="single" w:color="AAAAAA" w:sz="4"/>
              <w:bottom w:val="single" w:color="AAAAAA" w:sz="4"/>
              <w:right w:val="single" w:color="AAAAAA" w:sz="4"/>
            </w:tcBorders>
            <w:shd w:fill="1F4D3A" w:val="clear"/>
            <w:tcMar>
              <w:top w:type="dxa" w:w="110"/>
              <w:left w:type="dxa" w:w="130"/>
              <w:bottom w:type="dxa" w:w="110"/>
              <w:right w:type="dxa" w:w="130"/>
            </w:tcMar>
          </w:tcPr>
          <w:p>
            <w:pPr>
              <w:spacing w:after="0"/>
            </w:pPr>
            <w:r>
              <w:rPr>
                <w:rFonts w:ascii="Arial" w:cs="Arial" w:eastAsia="Arial" w:hAnsi="Arial"/>
                <w:b/>
                <w:bCs/>
                <w:color w:val="FFFFFF"/>
                <w:sz w:val="18"/>
                <w:szCs w:val="18"/>
              </w:rPr>
              <w:t xml:space="preserve">Role</w:t>
            </w:r>
          </w:p>
        </w:tc>
      </w:tr>
      <w:tr>
        <w:tc>
          <w:tcPr>
            <w:tcW w:type="dxa" w:w="300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Diyanah Morshed</w:t>
            </w:r>
          </w:p>
        </w:tc>
        <w:tc>
          <w:tcPr>
            <w:tcW w:type="dxa" w:w="216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DEH</w:t>
            </w:r>
          </w:p>
        </w:tc>
        <w:tc>
          <w:tcPr>
            <w:tcW w:type="dxa" w:w="420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Research and content</w:t>
            </w:r>
          </w:p>
        </w:tc>
      </w:tr>
      <w:tr>
        <w:tc>
          <w:tcPr>
            <w:tcW w:type="dxa" w:w="300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Mashiyat Hasan</w:t>
            </w:r>
          </w:p>
        </w:tc>
        <w:tc>
          <w:tcPr>
            <w:tcW w:type="dxa" w:w="216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DEH</w:t>
            </w:r>
          </w:p>
        </w:tc>
        <w:tc>
          <w:tcPr>
            <w:tcW w:type="dxa" w:w="420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Research and content</w:t>
            </w:r>
          </w:p>
        </w:tc>
      </w:tr>
      <w:tr>
        <w:tc>
          <w:tcPr>
            <w:tcW w:type="dxa" w:w="300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bCs/>
                <w:sz w:val="18"/>
                <w:szCs w:val="18"/>
              </w:rPr>
              <w:t xml:space="preserve">Md. Miraz Hossain</w:t>
            </w:r>
          </w:p>
        </w:tc>
        <w:tc>
          <w:tcPr>
            <w:tcW w:type="dxa" w:w="216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MSJ</w:t>
            </w:r>
          </w:p>
        </w:tc>
        <w:tc>
          <w:tcPr>
            <w:tcW w:type="dxa" w:w="420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Shooting, editing, scripting, expert interview</w:t>
            </w:r>
          </w:p>
        </w:tc>
        <w:tc>
          <w:tcPr>
            <w:tcW w:type="dxa" w:w="4200"/>
            <w:tcBorders>
              <w:top w:val="single" w:color="AAAAAA" w:sz="4"/>
              <w:left w:val="single" w:color="AAAAAA" w:sz="4"/>
              <w:bottom w:val="single" w:color="AAAAAA" w:sz="4"/>
              <w:right w:val="single" w:color="AAAAAA" w:sz="4"/>
            </w:tcBorders>
            <w:shd w:fill="EEF4F0"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self</w:t>
            </w:r>
          </w:p>
        </w:tc>
      </w:tr>
      <w:tr>
        <w:tc>
          <w:tcPr>
            <w:tcW w:type="dxa" w:w="300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Zurafa Islam</w:t>
            </w:r>
          </w:p>
        </w:tc>
        <w:tc>
          <w:tcPr>
            <w:tcW w:type="dxa" w:w="216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BBA</w:t>
            </w:r>
          </w:p>
        </w:tc>
        <w:tc>
          <w:tcPr>
            <w:tcW w:type="dxa" w:w="4200"/>
            <w:tcBorders>
              <w:top w:val="single" w:color="AAAAAA" w:sz="4"/>
              <w:left w:val="single" w:color="AAAAAA" w:sz="4"/>
              <w:bottom w:val="single" w:color="AAAAAA" w:sz="4"/>
              <w:right w:val="single" w:color="AAAAAA" w:sz="4"/>
            </w:tcBorders>
            <w:shd w:fill="FFFFFF" w:val="clear"/>
            <w:tcMar>
              <w:top w:type="dxa" w:w="90"/>
              <w:left w:type="dxa" w:w="130"/>
              <w:bottom w:type="dxa" w:w="90"/>
              <w:right w:type="dxa" w:w="130"/>
            </w:tcMar>
          </w:tcPr>
          <w:p>
            <w:pPr>
              <w:spacing w:after="0"/>
            </w:pPr>
            <w:r>
              <w:rPr>
                <w:rFonts w:ascii="Georgia" w:cs="Georgia" w:eastAsia="Georgia" w:hAnsi="Georgia"/>
                <w:b w:val="false"/>
                <w:bCs w:val="false"/>
                <w:sz w:val="18"/>
                <w:szCs w:val="18"/>
              </w:rPr>
              <w:t xml:space="preserve">Research and content</w:t>
            </w:r>
          </w:p>
        </w:tc>
      </w:tr>
    </w:tbl>
    <w:p>
      <w:pPr>
        <w:spacing w:after="200" w:before="100"/>
      </w:pPr>
      <w:r>
        <w:rPr>
          <w:rFonts w:ascii="Georgia" w:cs="Georgia" w:eastAsia="Georgia" w:hAnsi="Georgia"/>
          <w:i/>
          <w:iCs/>
          <w:color w:val="666666"/>
          <w:sz w:val="18"/>
          <w:szCs w:val="18"/>
        </w:rPr>
        <w:t xml:space="preserve">DEH = Department of Environment and Health; MSJ = Media Studies and Journalism; BBA = Business Administration. Role descriptions reflect the project’s division of labour; my own role is detailed above.</w:t>
      </w:r>
    </w:p>
    <w:p>
      <w:pPr>
        <w:pBdr>
          <w:bottom w:val="single" w:color="BBBBBB" w:sz="4" w:space="1"/>
        </w:pBdr>
        <w:spacing w:after="200" w:before="200"/>
      </w:pPr>
    </w:p>
    <w:p>
      <w:pPr>
        <w:pStyle w:val="Heading1"/>
        <w:spacing w:after="180" w:before="420"/>
      </w:pPr>
      <w:r>
        <w:rPr>
          <w:rFonts w:ascii="Arial" w:cs="Arial" w:eastAsia="Arial" w:hAnsi="Arial"/>
          <w:b/>
          <w:bCs/>
          <w:sz w:val="27"/>
          <w:szCs w:val="27"/>
        </w:rPr>
        <w:t xml:space="preserve">References</w:t>
      </w:r>
    </w:p>
    <w:p>
      <w:pPr>
        <w:spacing w:after="140" w:line="240" w:lineRule="auto"/>
        <w:ind w:left="720" w:hanging="720"/>
        <w:jc w:val="left"/>
      </w:pPr>
      <w:r>
        <w:rPr>
          <w:rFonts w:ascii="Georgia" w:cs="Georgia" w:eastAsia="Georgia" w:hAnsi="Georgia"/>
          <w:sz w:val="21"/>
          <w:szCs w:val="21"/>
        </w:rPr>
        <w:t xml:space="preserve">Ecohubmap. (n.d.). Air pollution in Dhaka, Bangladesh: Causes, consequences, and solutions. https://www.ecohubmap.com/hot-spot/air-pollution-in-dhaka-bangladesh</w:t>
      </w:r>
    </w:p>
    <w:p>
      <w:pPr>
        <w:spacing w:after="140" w:line="240" w:lineRule="auto"/>
        <w:ind w:left="720" w:hanging="720"/>
        <w:jc w:val="left"/>
      </w:pPr>
      <w:r>
        <w:rPr>
          <w:rFonts w:ascii="Georgia" w:cs="Georgia" w:eastAsia="Georgia" w:hAnsi="Georgia"/>
          <w:sz w:val="21"/>
          <w:szCs w:val="21"/>
        </w:rPr>
        <w:t xml:space="preserve">IQAir. (2025). Dhaka air quality and PM2.5 reports [Newsroom analyses, 2025]. https://www.iqair.com/</w:t>
      </w:r>
    </w:p>
    <w:p>
      <w:pPr>
        <w:spacing w:after="140" w:line="240" w:lineRule="auto"/>
        <w:ind w:left="720" w:hanging="720"/>
        <w:jc w:val="left"/>
      </w:pPr>
      <w:r>
        <w:rPr>
          <w:rFonts w:ascii="Georgia" w:cs="Georgia" w:eastAsia="Georgia" w:hAnsi="Georgia"/>
          <w:sz w:val="21"/>
          <w:szCs w:val="21"/>
        </w:rPr>
        <w:t xml:space="preserve">The Daily Star. (2025). Dhaka’s deadly air: What we know and what we can do. https://www.thedailystar.net/opinion/focus/news/what-we-know-and-what-we-can-do-3850041</w:t>
      </w:r>
    </w:p>
    <w:p>
      <w:pPr>
        <w:spacing w:after="140" w:line="240" w:lineRule="auto"/>
        <w:ind w:left="720" w:hanging="720"/>
        <w:jc w:val="left"/>
      </w:pPr>
      <w:r>
        <w:rPr>
          <w:rFonts w:ascii="Georgia" w:cs="Georgia" w:eastAsia="Georgia" w:hAnsi="Georgia"/>
          <w:sz w:val="21"/>
          <w:szCs w:val="21"/>
        </w:rPr>
        <w:t xml:space="preserve">World Health Organization. (2021). WHO global air quality guidelines: Particulate matter (PM2.5 and PM10), ozone, nitrogen dioxide, sulfur dioxide and carbon monoxide. WHO.</w:t>
      </w:r>
    </w:p>
    <w:p>
      <w:pPr>
        <w:spacing w:after="160"/>
      </w:pPr>
    </w:p>
    <w:p>
      <w:pPr>
        <w:spacing w:after="100"/>
      </w:pPr>
      <w:r>
        <w:rPr>
          <w:rFonts w:ascii="Georgia" w:cs="Georgia" w:eastAsia="Georgia" w:hAnsi="Georgia"/>
          <w:b/>
          <w:bCs/>
          <w:color w:val="555555"/>
          <w:sz w:val="20"/>
          <w:szCs w:val="20"/>
        </w:rPr>
        <w:t xml:space="preserve">Course: </w:t>
      </w:r>
      <w:r>
        <w:rPr>
          <w:rFonts w:ascii="Georgia" w:cs="Georgia" w:eastAsia="Georgia" w:hAnsi="Georgia"/>
          <w:color w:val="555555"/>
          <w:sz w:val="20"/>
          <w:szCs w:val="20"/>
        </w:rPr>
        <w:t xml:space="preserve">NSC2283 Environmental Science, ULAB (Spring 2025). Group video project by Climate Catalysts; production (shooting, editing, scripting, expert interview) by the author. </w:t>
      </w:r>
      <w:hyperlink w:history="1" r:id="rIdcb9z8x7fyk2_esz3j8etu">
        <w:r>
          <w:rPr>
            <w:rFonts w:ascii="Georgia" w:cs="Georgia" w:eastAsia="Georgia" w:hAnsi="Georgia"/>
            <w:color w:val="0563C1"/>
            <w:sz w:val="20"/>
            <w:szCs w:val="20"/>
            <w:u w:val="single"/>
          </w:rPr>
          <w:t xml:space="preserve">Watch the package</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20"/>
      <w:outlineLvl w:val="0"/>
    </w:pPr>
    <w:rPr>
      <w:rFonts w:ascii="Arial" w:cs="Arial" w:eastAsia="Arial" w:hAnsi="Arial"/>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5i8ejmz3gdqefbmvrlq-" Type="http://schemas.openxmlformats.org/officeDocument/2006/relationships/hyperlink" Target="https://drive.google.com/file/d/1b_iIBrF2o8i1ExvPOMf1S6jdLW5_uNqZ/view?usp=sharing" TargetMode="External"/><Relationship Id="rIdcb9z8x7fyk2_esz3j8etu" Type="http://schemas.openxmlformats.org/officeDocument/2006/relationships/hyperlink" Target="https://drive.google.com/file/d/1b_iIBrF2o8i1ExvPOMf1S6jdLW5_uNqZ/view?usp=sharing"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2026-05-21T04:23:58.532Z</dcterms:created>
  <dcterms:modified xsi:type="dcterms:W3CDTF">2026-05-21T04:23:58.558Z</dcterms:modified>
</cp:coreProperties>
</file>

<file path=docProps/custom.xml><?xml version="1.0" encoding="utf-8"?>
<Properties xmlns="http://schemas.openxmlformats.org/officeDocument/2006/custom-properties" xmlns:vt="http://schemas.openxmlformats.org/officeDocument/2006/docPropsVTypes"/>
</file>