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sz w:val="36"/>
          <w:szCs w:val="36"/>
        </w:rPr>
        <w:t xml:space="preserve">Statistics for Newsroom Decisions:</w:t>
      </w:r>
    </w:p>
    <w:p>
      <w:pPr>
        <w:spacing w:after="400" w:before="0"/>
        <w:jc w:val="center"/>
      </w:pPr>
      <w:r>
        <w:rPr>
          <w:rFonts w:ascii="Arial" w:cs="Arial" w:eastAsia="Arial" w:hAnsi="Arial"/>
          <w:i/>
          <w:iCs/>
          <w:sz w:val="28"/>
          <w:szCs w:val="28"/>
        </w:rPr>
        <w:t xml:space="preserve">A Working Portfolio in Quantitative Reasoning for Journalists</w:t>
      </w:r>
    </w:p>
    <w:p>
      <w:pPr>
        <w:spacing w:after="120"/>
        <w:jc w:val="center"/>
      </w:pPr>
      <w:r>
        <w:rPr>
          <w:rFonts w:ascii="Georgia" w:cs="Georgia" w:eastAsia="Georgia" w:hAnsi="Georgia"/>
          <w:sz w:val="24"/>
          <w:szCs w:val="24"/>
        </w:rPr>
        <w:t xml:space="preserve">Md. Miraz Hossain</w:t>
      </w:r>
    </w:p>
    <w:p>
      <w:pPr>
        <w:spacing w:after="120"/>
        <w:jc w:val="center"/>
      </w:pPr>
      <w:r>
        <w:rPr>
          <w:rFonts w:ascii="Georgia" w:cs="Georgia" w:eastAsia="Georgia" w:hAnsi="Georgia"/>
          <w:i/>
          <w:iCs/>
          <w:sz w:val="24"/>
          <w:szCs w:val="24"/>
        </w:rPr>
        <w:t xml:space="preserve">GEF2101: Introduction to Data and Statistics</w:t>
      </w:r>
    </w:p>
    <w:p>
      <w:pPr>
        <w:spacing w:after="600"/>
        <w:jc w:val="center"/>
      </w:pPr>
      <w:r>
        <w:rPr>
          <w:rFonts w:ascii="Georgia" w:cs="Georgia" w:eastAsia="Georgia" w:hAnsi="Georgia"/>
          <w:i/>
          <w:iCs/>
          <w:sz w:val="24"/>
          <w:szCs w:val="24"/>
        </w:rPr>
        <w:t xml:space="preserve">University of Liberal Arts Bangladesh  —  Spring 2026</w:t>
      </w:r>
    </w:p>
    <w:p>
      <w:pPr>
        <w:pBdr>
          <w:bottom w:val="single" w:color="999999" w:sz="4" w:space="1"/>
        </w:pBdr>
        <w:spacing w:after="200" w:before="200"/>
      </w:pPr>
    </w:p>
    <w:p>
      <w:pPr>
        <w:pStyle w:val="Heading1"/>
        <w:spacing w:after="200" w:before="400"/>
      </w:pPr>
      <w:r>
        <w:rPr>
          <w:rFonts w:ascii="Arial" w:cs="Arial" w:eastAsia="Arial" w:hAnsi="Arial"/>
          <w:b/>
          <w:bCs/>
          <w:sz w:val="28"/>
          <w:szCs w:val="28"/>
        </w:rPr>
        <w:t xml:space="preserve">Preface: Why Numbers Keep Tripping Journalists Up</w:t>
      </w:r>
    </w:p>
    <w:p>
      <w:pPr>
        <w:spacing w:after="200" w:line="360" w:lineRule="auto"/>
        <w:ind w:firstLine="720"/>
        <w:jc w:val="both"/>
      </w:pPr>
      <w:r>
        <w:rPr>
          <w:rFonts w:ascii="Georgia" w:cs="Georgia" w:eastAsia="Georgia" w:hAnsi="Georgia"/>
          <w:sz w:val="24"/>
          <w:szCs w:val="24"/>
        </w:rPr>
        <w:t xml:space="preserve">Journalism has an odd relationship with numbers. Quantitative claims appear constantly — polling figures, crime rates, economic indicators, health statistics, survey results. But the production side of the industry rarely interrogates them rigorously. The errors that result are not usually dishonest. They are conceptual: confusing correlation with causation, treating percentage changes as meaningful without knowing the denominator, reporting a p-value as though it proves something rather than merely clears a threshold.</w:t>
      </w:r>
    </w:p>
    <w:p>
      <w:pPr>
        <w:spacing w:after="200" w:line="360" w:lineRule="auto"/>
        <w:ind w:firstLine="720"/>
        <w:jc w:val="both"/>
      </w:pPr>
      <w:r>
        <w:rPr>
          <w:rFonts w:ascii="Georgia" w:cs="Georgia" w:eastAsia="Georgia" w:hAnsi="Georgia"/>
          <w:sz w:val="24"/>
          <w:szCs w:val="24"/>
        </w:rPr>
        <w:t xml:space="preserve">This portfolio works through four scenarios where those errors would have cost a journalist the story, or worse, produced a false one. Each scenario is the kind of claim that arrives in a press release or a government report and looks, on the surface, like a straightforward data point. The four exercises cover polling margins of error, statistical significance, base rates in crime reporting, and engagement metrics in platform data. The last one connects directly to my research on algorithmic news systems — I kept running into journalists who used platform data to make editorial decisions without asking what the data actually measures.</w:t>
      </w:r>
    </w:p>
    <w:p>
      <w:pPr>
        <w:spacing w:after="200" w:line="360" w:lineRule="auto"/>
        <w:ind w:firstLine="720"/>
        <w:jc w:val="both"/>
      </w:pPr>
      <w:r>
        <w:rPr>
          <w:rFonts w:ascii="Georgia" w:cs="Georgia" w:eastAsia="Georgia" w:hAnsi="Georgia"/>
          <w:sz w:val="24"/>
          <w:szCs w:val="24"/>
        </w:rPr>
        <w:t xml:space="preserve">The goal throughout is what Gerd Gigerenzer (2002) calls statistical thinking: reasoning about uncertainty and evidence in ways that produce better judgements. Not mathematical sophistication. Just the conceptual tools to know when a number is doing the work it claims to do.</w:t>
      </w:r>
    </w:p>
    <w:p>
      <w:pPr>
        <w:pBdr>
          <w:bottom w:val="single" w:color="999999" w:sz="4" w:space="1"/>
        </w:pBdr>
        <w:spacing w:after="200" w:before="200"/>
      </w:pPr>
    </w:p>
    <w:p>
      <w:pPr>
        <w:pStyle w:val="Heading1"/>
        <w:spacing w:after="200" w:before="400"/>
      </w:pPr>
      <w:r>
        <w:rPr>
          <w:rFonts w:ascii="Arial" w:cs="Arial" w:eastAsia="Arial" w:hAnsi="Arial"/>
          <w:b/>
          <w:bCs/>
          <w:sz w:val="28"/>
          <w:szCs w:val="28"/>
        </w:rPr>
        <w:t xml:space="preserve">Exercise 1: Reading Polls — Margin of Error and What It Actually Means</w:t>
      </w:r>
    </w:p>
    <w:p>
      <w:pPr>
        <w:spacing w:after="200" w:line="360" w:lineRule="auto"/>
        <w:ind w:firstLine="720"/>
        <w:jc w:val="both"/>
      </w:pPr>
      <w:r>
        <w:rPr>
          <w:rFonts w:ascii="Georgia" w:cs="Georgia" w:eastAsia="Georgia" w:hAnsi="Georgia"/>
          <w:sz w:val="24"/>
          <w:szCs w:val="24"/>
        </w:rPr>
        <w:t xml:space="preserve">Polling data is probably the most frequently misreported statistical information in journalism, and the misreporting follows a predictable pattern. A poll showing 52% support for a policy gets reported as proof that “a majority supports” the policy. The margin of error appears in the methodology note, if at all. The conceptual problem: a 52% result with a ±3% margin of error does not establish majority support. It says the true population value is somewhere between 49% and 55% with 95% confidence — which is fully consistent with minority support.</w:t>
      </w:r>
    </w:p>
    <w:p>
      <w:pPr>
        <w:pStyle w:val="Heading2"/>
        <w:spacing w:after="160" w:before="320"/>
      </w:pPr>
      <w:r>
        <w:rPr>
          <w:rFonts w:ascii="Arial" w:cs="Arial" w:eastAsia="Arial" w:hAnsi="Arial"/>
          <w:b/>
          <w:bCs/>
          <w:color w:val="2E5C8A"/>
          <w:sz w:val="26"/>
          <w:szCs w:val="26"/>
        </w:rPr>
        <w:t xml:space="preserve">The Scenario</w:t>
      </w:r>
    </w:p>
    <w:p>
      <w:pPr>
        <w:spacing w:after="200" w:line="360" w:lineRule="auto"/>
        <w:ind w:firstLine="720"/>
        <w:jc w:val="both"/>
      </w:pPr>
      <w:r>
        <w:rPr>
          <w:rFonts w:ascii="Georgia" w:cs="Georgia" w:eastAsia="Georgia" w:hAnsi="Georgia"/>
          <w:sz w:val="24"/>
          <w:szCs w:val="24"/>
        </w:rPr>
        <w:t xml:space="preserve">In January 2026, a Bangladeshi research organisation published a survey claiming 61% of urban youth trust social media more than traditional news outlets for political information. Several outlets reported this as evidence of a decisive shift in media trust. Sample size: 800 respondents. Reported margin of error: ±3.5%.</w:t>
      </w:r>
    </w:p>
    <w:p>
      <w:pPr>
        <w:pStyle w:val="Heading2"/>
        <w:spacing w:after="160" w:before="320"/>
      </w:pPr>
      <w:r>
        <w:rPr>
          <w:rFonts w:ascii="Arial" w:cs="Arial" w:eastAsia="Arial" w:hAnsi="Arial"/>
          <w:b/>
          <w:bCs/>
          <w:color w:val="2E5C8A"/>
          <w:sz w:val="26"/>
          <w:szCs w:val="26"/>
        </w:rPr>
        <w:t xml:space="preserve">The Analysis</w:t>
      </w:r>
    </w:p>
    <w:p>
      <w:pPr>
        <w:spacing w:after="200" w:line="360" w:lineRule="auto"/>
        <w:ind w:firstLine="720"/>
        <w:jc w:val="both"/>
      </w:pPr>
      <w:r>
        <w:rPr>
          <w:rFonts w:ascii="Georgia" w:cs="Georgia" w:eastAsia="Georgia" w:hAnsi="Georgia"/>
          <w:sz w:val="24"/>
          <w:szCs w:val="24"/>
        </w:rPr>
        <w:t xml:space="preserve">The margin of error formula for a proportion p at 95% confidence in a sample of size n:</w:t>
      </w:r>
    </w:p>
    <w:p>
      <w:pPr>
        <w:spacing w:after="200" w:before="200" w:line="280" w:lineRule="auto"/>
        <w:ind w:left="720" w:right="720"/>
        <w:jc w:val="center"/>
      </w:pPr>
      <w:r>
        <w:rPr>
          <w:rFonts w:ascii="Courier New" w:cs="Courier New" w:eastAsia="Courier New" w:hAnsi="Courier New"/>
          <w:b/>
          <w:bCs/>
          <w:sz w:val="22"/>
          <w:szCs w:val="22"/>
        </w:rPr>
        <w:t xml:space="preserve">ME = 1.96 × √(p(1−p) / n)</w:t>
      </w:r>
    </w:p>
    <w:p>
      <w:pPr>
        <w:spacing w:after="200" w:line="360" w:lineRule="auto"/>
        <w:ind w:firstLine="720"/>
        <w:jc w:val="both"/>
      </w:pPr>
      <w:r>
        <w:rPr>
          <w:rFonts w:ascii="Georgia" w:cs="Georgia" w:eastAsia="Georgia" w:hAnsi="Georgia"/>
          <w:sz w:val="24"/>
          <w:szCs w:val="24"/>
        </w:rPr>
        <w:t xml:space="preserve">For p = 0.61 and n = 800, this gives ME ≈ 0.034, so the ±3.5% figure is accurate. The 95% confidence interval runs from approximately 57.5% to 64.5%. That does establish majority support — the lower bound clears 50%. But it does not establish 61% as a reliable figure. Reporting the point estimate without the interval overstates precision.</w:t>
      </w:r>
    </w:p>
    <w:p>
      <w:pPr>
        <w:spacing w:after="200" w:line="360" w:lineRule="auto"/>
        <w:ind w:firstLine="720"/>
        <w:jc w:val="both"/>
      </w:pPr>
      <w:r>
        <w:rPr>
          <w:rFonts w:ascii="Georgia" w:cs="Georgia" w:eastAsia="Georgia" w:hAnsi="Georgia"/>
          <w:sz w:val="24"/>
          <w:szCs w:val="24"/>
        </w:rPr>
        <w:t xml:space="preserve">A second problem: “urban youth” was never defined in the coverage. If the sample was drawn from university students in Dhaka, the finding applies to Dhaka university students, not to Bangladeshi urban youth in general. Scope of inference is a statistical question. Journalism routinely skips it.</w:t>
      </w:r>
    </w:p>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6"/>
              <w:left w:val="single" w:color="AAAAAA" w:sz="6"/>
              <w:bottom w:val="single" w:color="AAAAAA" w:sz="6"/>
              <w:right w:val="single" w:color="AAAAAA" w:sz="6"/>
            </w:tcBorders>
            <w:shd w:fill="F4F7FB" w:val="clear"/>
            <w:tcMar>
              <w:top w:type="dxa" w:w="160"/>
              <w:left w:type="dxa" w:w="240"/>
              <w:bottom w:type="dxa" w:w="160"/>
              <w:right w:type="dxa" w:w="240"/>
            </w:tcMar>
          </w:tcPr>
          <w:p>
            <w:pPr>
              <w:spacing w:after="100"/>
            </w:pPr>
            <w:r>
              <w:rPr>
                <w:rFonts w:ascii="Arial" w:cs="Arial" w:eastAsia="Arial" w:hAnsi="Arial"/>
                <w:b/>
                <w:bCs/>
                <w:color w:val="2E5C8A"/>
                <w:sz w:val="20"/>
                <w:szCs w:val="20"/>
              </w:rPr>
              <w:t xml:space="preserve">Newsroom Rule 1</w:t>
            </w:r>
          </w:p>
          <w:p>
            <w:pPr>
              <w:spacing w:after="80"/>
            </w:pPr>
            <w:r>
              <w:rPr>
                <w:rFonts w:ascii="Georgia" w:cs="Georgia" w:eastAsia="Georgia" w:hAnsi="Georgia"/>
                <w:sz w:val="20"/>
                <w:szCs w:val="20"/>
              </w:rPr>
              <w:t xml:space="preserve">Report the confidence interval, not just the point estimate. “61% of urban youth trust social media more than traditional news (95% CI: 57.5%–64.5%, n=800)” is more accurate and no harder to read.</w:t>
            </w:r>
          </w:p>
          <w:p>
            <w:pPr>
              <w:spacing w:after="80"/>
            </w:pPr>
            <w:r>
              <w:rPr>
                <w:rFonts w:ascii="Georgia" w:cs="Georgia" w:eastAsia="Georgia" w:hAnsi="Georgia"/>
                <w:sz w:val="20"/>
                <w:szCs w:val="20"/>
              </w:rPr>
              <w:t xml:space="preserve">Always ask: who exactly was sampled, and what population does the finding actually apply to?</w:t>
            </w:r>
          </w:p>
        </w:tc>
      </w:tr>
    </w:tbl>
    <w:p>
      <w:pPr>
        <w:spacing w:after="180"/>
      </w:pPr>
    </w:p>
    <w:p>
      <w:pPr>
        <w:pBdr>
          <w:bottom w:val="single" w:color="999999" w:sz="4" w:space="1"/>
        </w:pBdr>
        <w:spacing w:after="200" w:before="200"/>
      </w:pPr>
    </w:p>
    <w:p>
      <w:pPr>
        <w:pStyle w:val="Heading1"/>
        <w:spacing w:after="200" w:before="400"/>
      </w:pPr>
      <w:r>
        <w:rPr>
          <w:rFonts w:ascii="Arial" w:cs="Arial" w:eastAsia="Arial" w:hAnsi="Arial"/>
          <w:b/>
          <w:bCs/>
          <w:sz w:val="28"/>
          <w:szCs w:val="28"/>
        </w:rPr>
        <w:t xml:space="preserve">Exercise 2: Statistical Significance and What It Does Not Mean</w:t>
      </w:r>
    </w:p>
    <w:p>
      <w:pPr>
        <w:spacing w:after="200" w:line="360" w:lineRule="auto"/>
        <w:ind w:firstLine="720"/>
        <w:jc w:val="both"/>
      </w:pPr>
      <w:r>
        <w:rPr>
          <w:rFonts w:ascii="Georgia" w:cs="Georgia" w:eastAsia="Georgia" w:hAnsi="Georgia"/>
          <w:sz w:val="24"/>
          <w:szCs w:val="24"/>
        </w:rPr>
        <w:t xml:space="preserve">A finding described as “statistically significant” gets reported as “important,” “proven,” or “substantial” so often that it is worth being blunt: none of those interpretations is correct. Statistical significance is a threshold criterion. It says the probability of obtaining a result at least as extreme as the one observed, if there were no real effect, falls below a set level — usually 5%. It says nothing about the size of the effect, its practical importance, or whether it will replicate.</w:t>
      </w:r>
    </w:p>
    <w:p>
      <w:pPr>
        <w:pStyle w:val="Heading2"/>
        <w:spacing w:after="160" w:before="320"/>
      </w:pPr>
      <w:r>
        <w:rPr>
          <w:rFonts w:ascii="Arial" w:cs="Arial" w:eastAsia="Arial" w:hAnsi="Arial"/>
          <w:b/>
          <w:bCs/>
          <w:color w:val="2E5C8A"/>
          <w:sz w:val="26"/>
          <w:szCs w:val="26"/>
        </w:rPr>
        <w:t xml:space="preserve">The Scenario</w:t>
      </w:r>
    </w:p>
    <w:p>
      <w:pPr>
        <w:spacing w:after="200" w:line="360" w:lineRule="auto"/>
        <w:ind w:firstLine="720"/>
        <w:jc w:val="both"/>
      </w:pPr>
      <w:r>
        <w:rPr>
          <w:rFonts w:ascii="Georgia" w:cs="Georgia" w:eastAsia="Georgia" w:hAnsi="Georgia"/>
          <w:sz w:val="24"/>
          <w:szCs w:val="24"/>
        </w:rPr>
        <w:t xml:space="preserve">A public health body in early 2026 published a press release reporting a “statistically significant association” between daily smartphone use over four hours and increased anxiety symptoms, p &lt; 0.001, in a study of 12,000 participants. Several outlets reported this as evidence smartphones cause anxiety.</w:t>
      </w:r>
    </w:p>
    <w:p>
      <w:pPr>
        <w:pStyle w:val="Heading2"/>
        <w:spacing w:after="160" w:before="320"/>
      </w:pPr>
      <w:r>
        <w:rPr>
          <w:rFonts w:ascii="Arial" w:cs="Arial" w:eastAsia="Arial" w:hAnsi="Arial"/>
          <w:b/>
          <w:bCs/>
          <w:color w:val="2E5C8A"/>
          <w:sz w:val="26"/>
          <w:szCs w:val="26"/>
        </w:rPr>
        <w:t xml:space="preserve">The Analysis</w:t>
      </w:r>
    </w:p>
    <w:p>
      <w:pPr>
        <w:spacing w:after="200" w:line="360" w:lineRule="auto"/>
        <w:ind w:firstLine="720"/>
        <w:jc w:val="both"/>
      </w:pPr>
      <w:r>
        <w:rPr>
          <w:rFonts w:ascii="Georgia" w:cs="Georgia" w:eastAsia="Georgia" w:hAnsi="Georgia"/>
          <w:sz w:val="24"/>
          <w:szCs w:val="24"/>
        </w:rPr>
        <w:t xml:space="preserve">Three separate errors compound here. First: statistical significance at p &lt; 0.001 in a sample of 12,000 is not impressive. With large samples, even trivially small differences become statistically significant because the standard error shrinks as n grows. The press release did not report an effect size — Cohen’s d for a continuous outcome, or an odds ratio for a binary one. Without it, the finding is uninterpretable.</w:t>
      </w:r>
    </w:p>
    <w:p>
      <w:pPr>
        <w:spacing w:after="200" w:line="360" w:lineRule="auto"/>
        <w:ind w:firstLine="720"/>
        <w:jc w:val="both"/>
      </w:pPr>
      <w:r>
        <w:rPr>
          <w:rFonts w:ascii="Georgia" w:cs="Georgia" w:eastAsia="Georgia" w:hAnsi="Georgia"/>
          <w:sz w:val="24"/>
          <w:szCs w:val="24"/>
        </w:rPr>
        <w:t xml:space="preserve">Second: the study design was cross-sectional and observational. Cross-sectional data cannot establish temporal precedence. People with pre-existing anxiety may use smartphones more. The word “association” in the press release was technically correct. “Cause” in the headlines was not.</w:t>
      </w:r>
    </w:p>
    <w:p>
      <w:pPr>
        <w:spacing w:after="200" w:line="360" w:lineRule="auto"/>
        <w:ind w:firstLine="720"/>
        <w:jc w:val="both"/>
      </w:pPr>
      <w:r>
        <w:rPr>
          <w:rFonts w:ascii="Georgia" w:cs="Georgia" w:eastAsia="Georgia" w:hAnsi="Georgia"/>
          <w:sz w:val="24"/>
          <w:szCs w:val="24"/>
        </w:rPr>
        <w:t xml:space="preserve">Third: p &lt; 0.001 does not mean the probability that the null hypothesis is true is 0.001. It means the probability of getting data at least this extreme, assuming the null is true, is below 0.001. Conflating those two is the inverse probability fallacy, and it is remarkably common in science reporting (Gigerenzer, 2002).</w:t>
      </w:r>
    </w:p>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6"/>
              <w:left w:val="single" w:color="AAAAAA" w:sz="6"/>
              <w:bottom w:val="single" w:color="AAAAAA" w:sz="6"/>
              <w:right w:val="single" w:color="AAAAAA" w:sz="6"/>
            </w:tcBorders>
            <w:shd w:fill="F4F7FB" w:val="clear"/>
            <w:tcMar>
              <w:top w:type="dxa" w:w="160"/>
              <w:left w:type="dxa" w:w="240"/>
              <w:bottom w:type="dxa" w:w="160"/>
              <w:right w:type="dxa" w:w="240"/>
            </w:tcMar>
          </w:tcPr>
          <w:p>
            <w:pPr>
              <w:spacing w:after="100"/>
            </w:pPr>
            <w:r>
              <w:rPr>
                <w:rFonts w:ascii="Arial" w:cs="Arial" w:eastAsia="Arial" w:hAnsi="Arial"/>
                <w:b/>
                <w:bCs/>
                <w:color w:val="2E5C8A"/>
                <w:sz w:val="20"/>
                <w:szCs w:val="20"/>
              </w:rPr>
              <w:t xml:space="preserve">Newsroom Rule 2</w:t>
            </w:r>
          </w:p>
          <w:p>
            <w:pPr>
              <w:spacing w:after="80"/>
            </w:pPr>
            <w:r>
              <w:rPr>
                <w:rFonts w:ascii="Georgia" w:cs="Georgia" w:eastAsia="Georgia" w:hAnsi="Georgia"/>
                <w:sz w:val="20"/>
                <w:szCs w:val="20"/>
              </w:rPr>
              <w:t xml:space="preserve">Before writing a significance story: (1) What is the effect size, not just the p-value? (2) Can the study design support a causal claim? (3) Has the finding been replicated?</w:t>
            </w:r>
          </w:p>
          <w:p>
            <w:pPr>
              <w:spacing w:after="80"/>
            </w:pPr>
            <w:r>
              <w:rPr>
                <w:rFonts w:ascii="Georgia" w:cs="Georgia" w:eastAsia="Georgia" w:hAnsi="Georgia"/>
                <w:sz w:val="20"/>
                <w:szCs w:val="20"/>
              </w:rPr>
              <w:t xml:space="preserve">A statistically significant result from one observational study is a hypothesis, not a conclusion.</w:t>
            </w:r>
          </w:p>
        </w:tc>
      </w:tr>
    </w:tbl>
    <w:p>
      <w:pPr>
        <w:spacing w:after="180"/>
      </w:pPr>
    </w:p>
    <w:p>
      <w:pPr>
        <w:pBdr>
          <w:bottom w:val="single" w:color="999999" w:sz="4" w:space="1"/>
        </w:pBdr>
        <w:spacing w:after="200" w:before="200"/>
      </w:pPr>
    </w:p>
    <w:p>
      <w:pPr>
        <w:pStyle w:val="Heading1"/>
        <w:spacing w:after="200" w:before="400"/>
      </w:pPr>
      <w:r>
        <w:rPr>
          <w:rFonts w:ascii="Arial" w:cs="Arial" w:eastAsia="Arial" w:hAnsi="Arial"/>
          <w:b/>
          <w:bCs/>
          <w:sz w:val="28"/>
          <w:szCs w:val="28"/>
        </w:rPr>
        <w:t xml:space="preserve">Exercise 3: Base Rates and the Denominator Problem in Crime Reporting</w:t>
      </w:r>
    </w:p>
    <w:p>
      <w:pPr>
        <w:spacing w:after="200" w:line="360" w:lineRule="auto"/>
        <w:ind w:firstLine="720"/>
        <w:jc w:val="both"/>
      </w:pPr>
      <w:r>
        <w:rPr>
          <w:rFonts w:ascii="Georgia" w:cs="Georgia" w:eastAsia="Georgia" w:hAnsi="Georgia"/>
          <w:sz w:val="24"/>
          <w:szCs w:val="24"/>
        </w:rPr>
        <w:t xml:space="preserve">A headline saying digital fraud cases increased by 400% last year may be alarming or trivial. It depends entirely on what the baseline was. This is the base rate fallacy: evaluating a change in absolute numbers without reference to the underlying population or rate. It is endemic in crime reporting.</w:t>
      </w:r>
    </w:p>
    <w:p>
      <w:pPr>
        <w:pStyle w:val="Heading2"/>
        <w:spacing w:after="160" w:before="320"/>
      </w:pPr>
      <w:r>
        <w:rPr>
          <w:rFonts w:ascii="Arial" w:cs="Arial" w:eastAsia="Arial" w:hAnsi="Arial"/>
          <w:b/>
          <w:bCs/>
          <w:color w:val="2E5C8A"/>
          <w:sz w:val="26"/>
          <w:szCs w:val="26"/>
        </w:rPr>
        <w:t xml:space="preserve">The Scenario</w:t>
      </w:r>
    </w:p>
    <w:p>
      <w:pPr>
        <w:spacing w:after="200" w:line="360" w:lineRule="auto"/>
        <w:ind w:firstLine="720"/>
        <w:jc w:val="both"/>
      </w:pPr>
      <w:r>
        <w:rPr>
          <w:rFonts w:ascii="Georgia" w:cs="Georgia" w:eastAsia="Georgia" w:hAnsi="Georgia"/>
          <w:sz w:val="24"/>
          <w:szCs w:val="24"/>
        </w:rPr>
        <w:t xml:space="preserve">In early 2026, a law enforcement agency released data showing online financial fraud cases rose from 150 in Q1 2024 to 720 in Q1 2026 — a 380% increase. Coverage treated this as evidence of a dramatic surge in cybercrime.</w:t>
      </w:r>
    </w:p>
    <w:p>
      <w:pPr>
        <w:pStyle w:val="Heading2"/>
        <w:spacing w:after="160" w:before="320"/>
      </w:pPr>
      <w:r>
        <w:rPr>
          <w:rFonts w:ascii="Arial" w:cs="Arial" w:eastAsia="Arial" w:hAnsi="Arial"/>
          <w:b/>
          <w:bCs/>
          <w:color w:val="2E5C8A"/>
          <w:sz w:val="26"/>
          <w:szCs w:val="26"/>
        </w:rPr>
        <w:t xml:space="preserve">The Analysis</w:t>
      </w:r>
    </w:p>
    <w:p>
      <w:pPr>
        <w:spacing w:after="200" w:line="360" w:lineRule="auto"/>
        <w:ind w:firstLine="720"/>
        <w:jc w:val="both"/>
      </w:pPr>
      <w:r>
        <w:rPr>
          <w:rFonts w:ascii="Georgia" w:cs="Georgia" w:eastAsia="Georgia" w:hAnsi="Georgia"/>
          <w:sz w:val="24"/>
          <w:szCs w:val="24"/>
        </w:rPr>
        <w:t xml:space="preserve">The arithmetic is right: (720 − 150) / 150 × 100 = 380%. But the figure is misleading without knowing two things: total online financial transaction volume over the same period, and whether reporting infrastructure improved.</w:t>
      </w:r>
    </w:p>
    <w:p>
      <w:pPr>
        <w:spacing w:after="200" w:line="360" w:lineRule="auto"/>
        <w:ind w:firstLine="720"/>
        <w:jc w:val="both"/>
      </w:pPr>
      <w:r>
        <w:rPr>
          <w:rFonts w:ascii="Georgia" w:cs="Georgia" w:eastAsia="Georgia" w:hAnsi="Georgia"/>
          <w:sz w:val="24"/>
          <w:szCs w:val="24"/>
        </w:rPr>
        <w:t xml:space="preserve">Bangladesh’s mobile financial services sector grew substantially between 2024 and 2026 — registered mobile banking accounts increasing roughly 18–22% year-on-year (Bangladesh Bank, 2025). If transaction volume grew by 300% over two years, a 380% rise in fraud cases represents a modest deterioration in the fraud rate, not a dramatic surge. Conversely, if reporting mechanisms improved over the period, some of the increase in recorded cases may reflect better data collection rather than more fraud.</w:t>
      </w:r>
    </w:p>
    <w:p>
      <w:pPr>
        <w:spacing w:after="200" w:line="360" w:lineRule="auto"/>
        <w:ind w:firstLine="720"/>
        <w:jc w:val="both"/>
      </w:pPr>
      <w:r>
        <w:rPr>
          <w:rFonts w:ascii="Georgia" w:cs="Georgia" w:eastAsia="Georgia" w:hAnsi="Georgia"/>
          <w:sz w:val="24"/>
          <w:szCs w:val="24"/>
        </w:rPr>
        <w:t xml:space="preserve">The relevant concept is the rate — fraud cases per million transactions, not fraud cases as a raw count. Changes in rates are interpretable. Changes in counts without denominators are not.</w:t>
      </w:r>
    </w:p>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6"/>
              <w:left w:val="single" w:color="AAAAAA" w:sz="6"/>
              <w:bottom w:val="single" w:color="AAAAAA" w:sz="6"/>
              <w:right w:val="single" w:color="AAAAAA" w:sz="6"/>
            </w:tcBorders>
            <w:shd w:fill="F4F7FB" w:val="clear"/>
            <w:tcMar>
              <w:top w:type="dxa" w:w="160"/>
              <w:left w:type="dxa" w:w="240"/>
              <w:bottom w:type="dxa" w:w="160"/>
              <w:right w:type="dxa" w:w="240"/>
            </w:tcMar>
          </w:tcPr>
          <w:p>
            <w:pPr>
              <w:spacing w:after="100"/>
            </w:pPr>
            <w:r>
              <w:rPr>
                <w:rFonts w:ascii="Arial" w:cs="Arial" w:eastAsia="Arial" w:hAnsi="Arial"/>
                <w:b/>
                <w:bCs/>
                <w:color w:val="2E5C8A"/>
                <w:sz w:val="20"/>
                <w:szCs w:val="20"/>
              </w:rPr>
              <w:t xml:space="preserve">Newsroom Rule 3</w:t>
            </w:r>
          </w:p>
          <w:p>
            <w:pPr>
              <w:spacing w:after="80"/>
            </w:pPr>
            <w:r>
              <w:rPr>
                <w:rFonts w:ascii="Georgia" w:cs="Georgia" w:eastAsia="Georgia" w:hAnsi="Georgia"/>
                <w:sz w:val="20"/>
                <w:szCs w:val="20"/>
              </w:rPr>
              <w:t xml:space="preserve">Never report a change in an absolute count without asking what happened to the denominator.</w:t>
            </w:r>
          </w:p>
          <w:p>
            <w:pPr>
              <w:spacing w:after="80"/>
            </w:pPr>
            <w:r>
              <w:rPr>
                <w:rFonts w:ascii="Georgia" w:cs="Georgia" w:eastAsia="Georgia" w:hAnsi="Georgia"/>
                <w:sz w:val="20"/>
                <w:szCs w:val="20"/>
              </w:rPr>
              <w:t xml:space="preserve">Crime, disease, and accident data are only interpretable as rates. If the denominator is unavailable, say so explicitly in the piece rather than running the count figure alone.</w:t>
            </w:r>
          </w:p>
        </w:tc>
      </w:tr>
    </w:tbl>
    <w:p>
      <w:pPr>
        <w:spacing w:after="180"/>
      </w:pPr>
    </w:p>
    <w:p>
      <w:pPr>
        <w:pBdr>
          <w:bottom w:val="single" w:color="999999" w:sz="4" w:space="1"/>
        </w:pBdr>
        <w:spacing w:after="200" w:before="200"/>
      </w:pPr>
    </w:p>
    <w:p>
      <w:pPr>
        <w:pStyle w:val="Heading1"/>
        <w:spacing w:after="200" w:before="400"/>
      </w:pPr>
      <w:r>
        <w:rPr>
          <w:rFonts w:ascii="Arial" w:cs="Arial" w:eastAsia="Arial" w:hAnsi="Arial"/>
          <w:b/>
          <w:bCs/>
          <w:sz w:val="28"/>
          <w:szCs w:val="28"/>
        </w:rPr>
        <w:t xml:space="preserve">Exercise 4: Engagement Metrics and the Statistics of Algorithmic Visibility</w:t>
      </w:r>
    </w:p>
    <w:p>
      <w:pPr>
        <w:spacing w:after="200" w:line="360" w:lineRule="auto"/>
        <w:ind w:firstLine="720"/>
        <w:jc w:val="both"/>
      </w:pPr>
      <w:r>
        <w:rPr>
          <w:rFonts w:ascii="Georgia" w:cs="Georgia" w:eastAsia="Georgia" w:hAnsi="Georgia"/>
          <w:sz w:val="24"/>
          <w:szCs w:val="24"/>
        </w:rPr>
        <w:t xml:space="preserve">This exercise is the one I kept running into in my own reporting. As news organisations have come to depend on social media platforms for audience reach, engagement metrics — impressions, click-through rate, shares, watch time — have taken on the weight of editorial performance indicators. They shape decisions about what gets commissioned, what gets resources, and what gets dropped. The statistical problem is that most journalists using these metrics do not ask what they actually measure.</w:t>
      </w:r>
    </w:p>
    <w:p>
      <w:pPr>
        <w:pStyle w:val="Heading2"/>
        <w:spacing w:after="160" w:before="320"/>
      </w:pPr>
      <w:r>
        <w:rPr>
          <w:rFonts w:ascii="Arial" w:cs="Arial" w:eastAsia="Arial" w:hAnsi="Arial"/>
          <w:b/>
          <w:bCs/>
          <w:color w:val="2E5C8A"/>
          <w:sz w:val="26"/>
          <w:szCs w:val="26"/>
        </w:rPr>
        <w:t xml:space="preserve">The Scenario</w:t>
      </w:r>
    </w:p>
    <w:p>
      <w:pPr>
        <w:spacing w:after="200" w:line="360" w:lineRule="auto"/>
        <w:ind w:firstLine="720"/>
        <w:jc w:val="both"/>
      </w:pPr>
      <w:r>
        <w:rPr>
          <w:rFonts w:ascii="Georgia" w:cs="Georgia" w:eastAsia="Georgia" w:hAnsi="Georgia"/>
          <w:sz w:val="24"/>
          <w:szCs w:val="24"/>
        </w:rPr>
        <w:t xml:space="preserve">A digital editor reports that an investigative piece on political corruption received 4,200 Facebook impressions and a 1.8% click-through rate, while a celebrity profile received 31,000 impressions and a 6.4% CTR. The editor proposes deprioritising investigative content based on this data.</w:t>
      </w:r>
    </w:p>
    <w:p>
      <w:pPr>
        <w:pStyle w:val="Heading2"/>
        <w:spacing w:after="160" w:before="320"/>
      </w:pPr>
      <w:r>
        <w:rPr>
          <w:rFonts w:ascii="Arial" w:cs="Arial" w:eastAsia="Arial" w:hAnsi="Arial"/>
          <w:b/>
          <w:bCs/>
          <w:color w:val="2E5C8A"/>
          <w:sz w:val="26"/>
          <w:szCs w:val="26"/>
        </w:rPr>
        <w:t xml:space="preserve">The Analysis</w:t>
      </w:r>
    </w:p>
    <w:p>
      <w:pPr>
        <w:spacing w:after="200" w:line="360" w:lineRule="auto"/>
        <w:ind w:firstLine="720"/>
        <w:jc w:val="both"/>
      </w:pPr>
      <w:r>
        <w:rPr>
          <w:rFonts w:ascii="Georgia" w:cs="Georgia" w:eastAsia="Georgia" w:hAnsi="Georgia"/>
          <w:sz w:val="24"/>
          <w:szCs w:val="24"/>
        </w:rPr>
        <w:t xml:space="preserve">The comparison is misleading in three ways. First: Facebook impressions are an algorithmic output, not a direct measure of audience interest. The platform decides how many users see a given post in their feeds. If the algorithm systematically downranks political content in favour of entertainment — which the existing research suggests it does (Metzler &amp; Garcia, 2024) — then the difference in impressions reflects algorithmic bias at least as much as reader preference. Using algorithmically shaped reach data to infer audience preference is circular.</w:t>
      </w:r>
    </w:p>
    <w:p>
      <w:pPr>
        <w:spacing w:after="200" w:line="360" w:lineRule="auto"/>
        <w:ind w:firstLine="720"/>
        <w:jc w:val="both"/>
      </w:pPr>
      <w:r>
        <w:rPr>
          <w:rFonts w:ascii="Georgia" w:cs="Georgia" w:eastAsia="Georgia" w:hAnsi="Georgia"/>
          <w:sz w:val="24"/>
          <w:szCs w:val="24"/>
        </w:rPr>
        <w:t xml:space="preserve">Second: CTR is a ratio sensitive to its denominator. 31,000 impressions at 6.4% gives roughly 1,984 clicks. 4,200 impressions at 1.8% gives roughly 76 clicks. The gap in absolute clicks is real — but it cannot be separated from the gap in distribution that the algorithm created. The editorial inference requires controlling for distribution. The raw data does not allow that.</w:t>
      </w:r>
    </w:p>
    <w:p>
      <w:pPr>
        <w:spacing w:after="200" w:line="360" w:lineRule="auto"/>
        <w:ind w:firstLine="720"/>
        <w:jc w:val="both"/>
      </w:pPr>
      <w:r>
        <w:rPr>
          <w:rFonts w:ascii="Georgia" w:cs="Georgia" w:eastAsia="Georgia" w:hAnsi="Georgia"/>
          <w:sz w:val="24"/>
          <w:szCs w:val="24"/>
        </w:rPr>
        <w:t xml:space="preserve">Third: clicks measure a specific behaviour that may or may not proxy for what journalism is supposed to produce — informing readers, holding power to account, contributing to public understanding. A click is not a measure of whether a reader understood a story, retained its argument, or acted on it in any way. Treating CTR as a primary performance indicator implies that the value of journalism is exhausted by its capacity to attract momentary attention — a theory that very few journalists would endorse if it were stated in those terms, but that is operationally encoded in how most newsrooms now measure success.</w:t>
      </w:r>
    </w:p>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6"/>
              <w:left w:val="single" w:color="AAAAAA" w:sz="6"/>
              <w:bottom w:val="single" w:color="AAAAAA" w:sz="6"/>
              <w:right w:val="single" w:color="AAAAAA" w:sz="6"/>
            </w:tcBorders>
            <w:shd w:fill="F4F7FB" w:val="clear"/>
            <w:tcMar>
              <w:top w:type="dxa" w:w="160"/>
              <w:left w:type="dxa" w:w="240"/>
              <w:bottom w:type="dxa" w:w="160"/>
              <w:right w:type="dxa" w:w="240"/>
            </w:tcMar>
          </w:tcPr>
          <w:p>
            <w:pPr>
              <w:spacing w:after="100"/>
            </w:pPr>
            <w:r>
              <w:rPr>
                <w:rFonts w:ascii="Arial" w:cs="Arial" w:eastAsia="Arial" w:hAnsi="Arial"/>
                <w:b/>
                <w:bCs/>
                <w:color w:val="2E5C8A"/>
                <w:sz w:val="20"/>
                <w:szCs w:val="20"/>
              </w:rPr>
              <w:t xml:space="preserve">Newsroom Rule 4</w:t>
            </w:r>
          </w:p>
          <w:p>
            <w:pPr>
              <w:spacing w:after="80"/>
            </w:pPr>
            <w:r>
              <w:rPr>
                <w:rFonts w:ascii="Georgia" w:cs="Georgia" w:eastAsia="Georgia" w:hAnsi="Georgia"/>
                <w:sz w:val="20"/>
                <w:szCs w:val="20"/>
              </w:rPr>
              <w:t xml:space="preserve">Engagement metrics measure platform behaviour, not audience interest and not journalistic impact.</w:t>
            </w:r>
          </w:p>
          <w:p>
            <w:pPr>
              <w:spacing w:after="80"/>
            </w:pPr>
            <w:r>
              <w:rPr>
                <w:rFonts w:ascii="Georgia" w:cs="Georgia" w:eastAsia="Georgia" w:hAnsi="Georgia"/>
                <w:sz w:val="20"/>
                <w:szCs w:val="20"/>
              </w:rPr>
              <w:t xml:space="preserve">Before using platform data for editorial decisions: (1) Is the difference in reach organic or algorithmic? (2) Are the metrics comparable across content types? (3) What theory of journalistic value makes this metric meaningful?</w:t>
            </w:r>
          </w:p>
        </w:tc>
      </w:tr>
    </w:tbl>
    <w:p>
      <w:pPr>
        <w:spacing w:after="180"/>
      </w:pPr>
    </w:p>
    <w:p>
      <w:pPr>
        <w:pBdr>
          <w:bottom w:val="single" w:color="999999" w:sz="4" w:space="1"/>
        </w:pBdr>
        <w:spacing w:after="200" w:before="200"/>
      </w:pPr>
    </w:p>
    <w:p>
      <w:pPr>
        <w:pStyle w:val="Heading1"/>
        <w:spacing w:after="200" w:before="400"/>
      </w:pPr>
      <w:r>
        <w:rPr>
          <w:rFonts w:ascii="Arial" w:cs="Arial" w:eastAsia="Arial" w:hAnsi="Arial"/>
          <w:b/>
          <w:bCs/>
          <w:sz w:val="28"/>
          <w:szCs w:val="28"/>
        </w:rPr>
        <w:t xml:space="preserve">Conclusion: The Same Problem, Four Times</w:t>
      </w:r>
    </w:p>
    <w:p>
      <w:pPr>
        <w:spacing w:after="200" w:line="360" w:lineRule="auto"/>
        <w:ind w:firstLine="720"/>
        <w:jc w:val="both"/>
      </w:pPr>
      <w:r>
        <w:rPr>
          <w:rFonts w:ascii="Georgia" w:cs="Georgia" w:eastAsia="Georgia" w:hAnsi="Georgia"/>
          <w:sz w:val="24"/>
          <w:szCs w:val="24"/>
        </w:rPr>
        <w:t xml:space="preserve">Each exercise here is a version of the same error: a number that looks clean and self-explanatory turns out, on closer inspection, to be hiding an assumption. The poll hides the interval and the sampling frame. The significance finding hides the effect size and the study design. The crime statistic hides the denominator. The engagement metric hides the algorithm that produced it.</w:t>
      </w:r>
    </w:p>
    <w:p>
      <w:pPr>
        <w:spacing w:after="200" w:line="360" w:lineRule="auto"/>
        <w:ind w:firstLine="720"/>
        <w:jc w:val="both"/>
      </w:pPr>
      <w:r>
        <w:rPr>
          <w:rFonts w:ascii="Georgia" w:cs="Georgia" w:eastAsia="Georgia" w:hAnsi="Georgia"/>
          <w:sz w:val="24"/>
          <w:szCs w:val="24"/>
        </w:rPr>
        <w:t xml:space="preserve">Statistical literacy does not mean being able to run regressions. It means knowing to ask what a number is hiding. That is as basic to sound journalism as knowing to ask who benefits from the story a source is pitching. The two questions have the same logic: what is visible here, and what is not?</w:t>
      </w:r>
    </w:p>
    <w:p>
      <w:pPr>
        <w:spacing w:after="200" w:line="360" w:lineRule="auto"/>
        <w:ind w:firstLine="720"/>
        <w:jc w:val="both"/>
      </w:pPr>
      <w:r>
        <w:rPr>
          <w:rFonts w:ascii="Georgia" w:cs="Georgia" w:eastAsia="Georgia" w:hAnsi="Georgia"/>
          <w:sz w:val="24"/>
          <w:szCs w:val="24"/>
        </w:rPr>
        <w:t xml:space="preserve">The engagement metrics exercise is the clearest illustration of this. Platform data looks like audience measurement but it is not — it is a record of what an algorithm decided to show people, filtered through whatever behaviour that induced. Treating it as direct evidence of audience preference is the same category of error as treating a poll point estimate as a precise population figure. In both cases, a number that looks self-explanatory is hiding the system that produced it. Statistical literacy, at its most useful, is the habit of asking what that system is.</w:t>
      </w:r>
    </w:p>
    <w:p>
      <w:pPr>
        <w:pBdr>
          <w:bottom w:val="single" w:color="999999" w:sz="4" w:space="1"/>
        </w:pBdr>
        <w:spacing w:after="200" w:before="200"/>
      </w:pPr>
    </w:p>
    <w:p>
      <w:pPr>
        <w:pStyle w:val="Heading1"/>
        <w:spacing w:after="200" w:before="400"/>
      </w:pPr>
      <w:r>
        <w:rPr>
          <w:rFonts w:ascii="Arial" w:cs="Arial" w:eastAsia="Arial" w:hAnsi="Arial"/>
          <w:b/>
          <w:bCs/>
          <w:sz w:val="28"/>
          <w:szCs w:val="28"/>
        </w:rPr>
        <w:t xml:space="preserve">References</w:t>
      </w:r>
    </w:p>
    <w:p>
      <w:pPr>
        <w:spacing w:after="160" w:line="240" w:lineRule="auto"/>
        <w:ind w:left="720" w:hanging="720"/>
        <w:jc w:val="left"/>
      </w:pPr>
      <w:r>
        <w:rPr>
          <w:rFonts w:ascii="Georgia" w:cs="Georgia" w:eastAsia="Georgia" w:hAnsi="Georgia"/>
          <w:sz w:val="22"/>
          <w:szCs w:val="22"/>
        </w:rPr>
        <w:t xml:space="preserve">Bangladesh Bank. (2025). Annual report 2024–2025. Bangladesh Bank.</w:t>
      </w:r>
    </w:p>
    <w:p>
      <w:pPr>
        <w:spacing w:after="160" w:line="240" w:lineRule="auto"/>
        <w:ind w:left="720" w:hanging="720"/>
        <w:jc w:val="left"/>
      </w:pPr>
      <w:r>
        <w:rPr>
          <w:rFonts w:ascii="Georgia" w:cs="Georgia" w:eastAsia="Georgia" w:hAnsi="Georgia"/>
          <w:sz w:val="22"/>
          <w:szCs w:val="22"/>
        </w:rPr>
        <w:t xml:space="preserve">Gigerenzer, G. (2002). Reckoning with risk: Learning to live with uncertainty. Penguin Books.</w:t>
      </w:r>
    </w:p>
    <w:p>
      <w:pPr>
        <w:spacing w:after="160" w:line="240" w:lineRule="auto"/>
        <w:ind w:left="720" w:hanging="720"/>
        <w:jc w:val="left"/>
      </w:pPr>
      <w:r>
        <w:rPr>
          <w:rFonts w:ascii="Georgia" w:cs="Georgia" w:eastAsia="Georgia" w:hAnsi="Georgia"/>
          <w:sz w:val="22"/>
          <w:szCs w:val="22"/>
        </w:rPr>
        <w:t xml:space="preserve">Metzler, H., &amp; Garcia, D. (2024). Social drivers and algorithmic mechanisms on digital media. Perspectives on Psychological Science, 19(5), 735–748. https://doi.org/10.1177/17456916231185057</w:t>
      </w:r>
    </w:p>
    <w:p>
      <w:pPr>
        <w:spacing w:after="160" w:line="240" w:lineRule="auto"/>
        <w:ind w:left="720" w:hanging="720"/>
        <w:jc w:val="left"/>
      </w:pPr>
      <w:r>
        <w:rPr>
          <w:rFonts w:ascii="Georgia" w:cs="Georgia" w:eastAsia="Georgia" w:hAnsi="Georgia"/>
          <w:sz w:val="22"/>
          <w:szCs w:val="22"/>
        </w:rPr>
        <w:t xml:space="preserve">Pennycook, G., &amp; Rand, D. G. (2019). Lazy, not biased: Susceptibility to partisan fake news is better explained by lack of reasoning than by motivated reasoning. Cognition, 188, 39–50. https://doi.org/10.1016/j.cognition.2018.06.011</w:t>
      </w:r>
    </w:p>
    <w:p>
      <w:pPr>
        <w:spacing w:after="160" w:line="240" w:lineRule="auto"/>
        <w:ind w:left="720" w:hanging="720"/>
        <w:jc w:val="left"/>
      </w:pPr>
      <w:r>
        <w:rPr>
          <w:rFonts w:ascii="Georgia" w:cs="Georgia" w:eastAsia="Georgia" w:hAnsi="Georgia"/>
          <w:sz w:val="22"/>
          <w:szCs w:val="22"/>
        </w:rPr>
        <w:t xml:space="preserve">Silver, N. (2012). The signal and the noise: Why so many predictions fail — but some don’t. Penguin Press.</w:t>
      </w:r>
    </w:p>
    <w:p>
      <w:pPr>
        <w:spacing w:after="160" w:line="240" w:lineRule="auto"/>
        <w:ind w:left="720" w:hanging="720"/>
        <w:jc w:val="left"/>
      </w:pPr>
      <w:r>
        <w:rPr>
          <w:rFonts w:ascii="Georgia" w:cs="Georgia" w:eastAsia="Georgia" w:hAnsi="Georgia"/>
          <w:sz w:val="22"/>
          <w:szCs w:val="22"/>
        </w:rPr>
        <w:t xml:space="preserve">Spiegelhalter, D. (2019). The art of statistics: Learning from data. Pelican Books.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28"/>
      <w:szCs w:val="28"/>
    </w:rPr>
  </w:style>
  <w:style w:type="paragraph" w:styleId="Heading2">
    <w:name w:val="Heading 2"/>
    <w:basedOn w:val="Normal"/>
    <w:next w:val="Normal"/>
    <w:qFormat/>
    <w:pPr>
      <w:spacing w:after="160" w:before="3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2026-05-19T12:16:37.641Z</dcterms:created>
  <dcterms:modified xsi:type="dcterms:W3CDTF">2026-05-19T12:16:37.641Z</dcterms:modified>
</cp:coreProperties>
</file>

<file path=docProps/custom.xml><?xml version="1.0" encoding="utf-8"?>
<Properties xmlns="http://schemas.openxmlformats.org/officeDocument/2006/custom-properties" xmlns:vt="http://schemas.openxmlformats.org/officeDocument/2006/docPropsVTypes"/>
</file>