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180975</wp:posOffset>
            </wp:positionH>
            <wp:positionV relativeFrom="paragraph">
              <wp:posOffset>0</wp:posOffset>
            </wp:positionV>
            <wp:extent cx="5029783" cy="1714500"/>
            <wp:effectExtent b="0" l="0" r="0" t="0"/>
            <wp:wrapNone/>
            <wp:docPr descr="ULAB logo - SACMID" id="1" name="image1.png"/>
            <a:graphic>
              <a:graphicData uri="http://schemas.openxmlformats.org/drawingml/2006/picture">
                <pic:pic>
                  <pic:nvPicPr>
                    <pic:cNvPr descr="ULAB logo - SACMID" id="0" name="image1.png"/>
                    <pic:cNvPicPr preferRelativeResize="0"/>
                  </pic:nvPicPr>
                  <pic:blipFill>
                    <a:blip r:embed="rId6"/>
                    <a:srcRect b="0" l="0" r="0" t="0"/>
                    <a:stretch>
                      <a:fillRect/>
                    </a:stretch>
                  </pic:blipFill>
                  <pic:spPr>
                    <a:xfrm>
                      <a:off x="0" y="0"/>
                      <a:ext cx="5029783" cy="1714500"/>
                    </a:xfrm>
                    <a:prstGeom prst="rect"/>
                    <a:ln/>
                  </pic:spPr>
                </pic:pic>
              </a:graphicData>
            </a:graphic>
          </wp:anchor>
        </w:drawing>
      </w:r>
    </w:p>
    <w:p w:rsidR="00000000" w:rsidDel="00000000" w:rsidP="00000000" w:rsidRDefault="00000000" w:rsidRPr="00000000" w14:paraId="00000002">
      <w:pPr>
        <w:spacing w:after="120" w:line="360" w:lineRule="auto"/>
        <w:jc w:val="both"/>
        <w:rPr>
          <w:rFonts w:ascii="Times New Roman" w:cs="Times New Roman" w:eastAsia="Times New Roman" w:hAnsi="Times New Roman"/>
          <w:b w:val="1"/>
          <w:bCs w:val="1"/>
          <w:sz w:val="24"/>
          <w:szCs w:val="24"/>
        </w:rPr>
      </w:pPr>
      <w:bookmarkStart w:colFirst="0" w:colLast="0" w:name="_j7rhmqd06n20" w:id="0"/>
      <w:bookmarkEnd w:id="0"/>
      <w:r w:rsidDel="00000000" w:rsidR="00000000" w:rsidRPr="00000000">
        <w:rPr>
          <w:rtl w:val="0"/>
        </w:rPr>
      </w:r>
    </w:p>
    <w:p w:rsidR="00000000" w:rsidDel="00000000" w:rsidP="00000000" w:rsidRDefault="00000000" w:rsidRPr="00000000" w14:paraId="00000003">
      <w:pPr>
        <w:spacing w:after="120" w:line="360" w:lineRule="auto"/>
        <w:jc w:val="both"/>
        <w:rPr>
          <w:rFonts w:ascii="Times New Roman" w:cs="Times New Roman" w:eastAsia="Times New Roman" w:hAnsi="Times New Roman"/>
          <w:b w:val="1"/>
          <w:bCs w:val="1"/>
          <w:sz w:val="24"/>
          <w:szCs w:val="24"/>
        </w:rPr>
      </w:pPr>
      <w:bookmarkStart w:colFirst="0" w:colLast="0" w:name="_u7fln0eliv0x" w:id="1"/>
      <w:bookmarkEnd w:id="1"/>
      <w:r w:rsidDel="00000000" w:rsidR="00000000" w:rsidRPr="00000000">
        <w:rPr>
          <w:rtl w:val="0"/>
        </w:rPr>
      </w:r>
    </w:p>
    <w:p w:rsidR="00000000" w:rsidDel="00000000" w:rsidP="00000000" w:rsidRDefault="00000000" w:rsidRPr="00000000" w14:paraId="00000004">
      <w:pPr>
        <w:spacing w:after="120" w:line="360" w:lineRule="auto"/>
        <w:jc w:val="both"/>
        <w:rPr>
          <w:rFonts w:ascii="Comfortaa" w:cs="Comfortaa" w:eastAsia="Comfortaa" w:hAnsi="Comfortaa"/>
          <w:b w:val="1"/>
          <w:bCs w:val="1"/>
          <w:sz w:val="24"/>
          <w:szCs w:val="24"/>
        </w:rPr>
      </w:pPr>
      <w:bookmarkStart w:colFirst="0" w:colLast="0" w:name="_g6vvs22jrhdt" w:id="2"/>
      <w:bookmarkEnd w:id="2"/>
      <w:r w:rsidDel="00000000" w:rsidR="00000000" w:rsidRPr="00000000">
        <w:rPr>
          <w:rtl w:val="0"/>
        </w:rPr>
      </w:r>
    </w:p>
    <w:p w:rsidR="00000000" w:rsidDel="00000000" w:rsidP="00000000" w:rsidRDefault="00000000" w:rsidRPr="00000000" w14:paraId="00000005">
      <w:pPr>
        <w:spacing w:after="120" w:line="360" w:lineRule="auto"/>
        <w:jc w:val="center"/>
        <w:rPr>
          <w:rFonts w:ascii="Comfortaa" w:cs="Comfortaa" w:eastAsia="Comfortaa" w:hAnsi="Comfortaa"/>
          <w:b w:val="1"/>
          <w:bCs w:val="1"/>
          <w:sz w:val="24"/>
          <w:szCs w:val="24"/>
        </w:rPr>
      </w:pPr>
      <w:bookmarkStart w:colFirst="0" w:colLast="0" w:name="_slvk4ww4bhha" w:id="3"/>
      <w:bookmarkEnd w:id="3"/>
      <w:r w:rsidDel="00000000" w:rsidR="00000000" w:rsidRPr="00000000">
        <w:rPr>
          <w:rtl w:val="0"/>
        </w:rPr>
      </w:r>
    </w:p>
    <w:p w:rsidR="00000000" w:rsidDel="00000000" w:rsidP="00000000" w:rsidRDefault="00000000" w:rsidRPr="00000000" w14:paraId="00000006">
      <w:pPr>
        <w:spacing w:after="120" w:line="360" w:lineRule="auto"/>
        <w:jc w:val="center"/>
        <w:rPr>
          <w:rFonts w:ascii="Comfortaa" w:cs="Comfortaa" w:eastAsia="Comfortaa" w:hAnsi="Comfortaa"/>
          <w:b w:val="1"/>
          <w:bCs w:val="1"/>
          <w:sz w:val="24"/>
          <w:szCs w:val="24"/>
        </w:rPr>
      </w:pPr>
      <w:bookmarkStart w:colFirst="0" w:colLast="0" w:name="_oapkmkz2bimu" w:id="4"/>
      <w:bookmarkEnd w:id="4"/>
      <w:r w:rsidDel="00000000" w:rsidR="00000000" w:rsidRPr="00000000">
        <w:rPr>
          <w:rtl w:val="0"/>
        </w:rPr>
      </w:r>
    </w:p>
    <w:p w:rsidR="00000000" w:rsidDel="00000000" w:rsidP="00000000" w:rsidRDefault="00000000" w:rsidRPr="00000000" w14:paraId="00000007">
      <w:pPr>
        <w:spacing w:after="120" w:line="360" w:lineRule="auto"/>
        <w:jc w:val="center"/>
        <w:rPr>
          <w:rFonts w:ascii="Times New Roman" w:cs="Times New Roman" w:eastAsia="Times New Roman" w:hAnsi="Times New Roman"/>
          <w:b w:val="1"/>
          <w:bCs w:val="1"/>
          <w:sz w:val="28"/>
          <w:szCs w:val="28"/>
          <w:u w:val="single"/>
        </w:rPr>
      </w:pPr>
      <w:bookmarkStart w:colFirst="0" w:colLast="0" w:name="_gjdgxs" w:id="5"/>
      <w:bookmarkEnd w:id="5"/>
      <w:r w:rsidDel="00000000" w:rsidR="00000000" w:rsidRPr="00000000">
        <w:rPr>
          <w:rFonts w:ascii="Times New Roman" w:cs="Times New Roman" w:eastAsia="Times New Roman" w:hAnsi="Times New Roman"/>
          <w:b w:val="1"/>
          <w:bCs w:val="1"/>
          <w:sz w:val="28"/>
          <w:szCs w:val="28"/>
          <w:u w:val="single"/>
          <w:rtl w:val="0"/>
        </w:rPr>
        <w:t xml:space="preserve">Assignment</w:t>
      </w:r>
    </w:p>
    <w:p w:rsidR="00000000" w:rsidDel="00000000" w:rsidP="00000000" w:rsidRDefault="00000000" w:rsidRPr="00000000" w14:paraId="00000008">
      <w:pPr>
        <w:spacing w:after="120" w:line="360" w:lineRule="auto"/>
        <w:jc w:val="both"/>
        <w:rPr>
          <w:rFonts w:ascii="Times New Roman" w:cs="Times New Roman" w:eastAsia="Times New Roman" w:hAnsi="Times New Roman"/>
          <w:b w:val="1"/>
          <w:bCs w:val="1"/>
          <w:color w:val="0070c0"/>
          <w:sz w:val="24"/>
          <w:szCs w:val="24"/>
          <w:u w:val="single"/>
        </w:rPr>
      </w:pPr>
      <w:r w:rsidDel="00000000" w:rsidR="00000000" w:rsidRPr="00000000">
        <w:rPr>
          <w:rtl w:val="0"/>
        </w:rPr>
      </w:r>
    </w:p>
    <w:p w:rsidR="00000000" w:rsidDel="00000000" w:rsidP="00000000" w:rsidRDefault="00000000" w:rsidRPr="00000000" w14:paraId="000000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Name of the Assignment: </w:t>
      </w:r>
      <w:r w:rsidDel="00000000" w:rsidR="00000000" w:rsidRPr="00000000">
        <w:rPr>
          <w:rFonts w:ascii="Times New Roman" w:cs="Times New Roman" w:eastAsia="Times New Roman" w:hAnsi="Times New Roman"/>
          <w:sz w:val="24"/>
          <w:szCs w:val="24"/>
          <w:rtl w:val="0"/>
        </w:rPr>
        <w:t xml:space="preserve">Assignment 01</w:t>
      </w:r>
    </w:p>
    <w:p w:rsidR="00000000" w:rsidDel="00000000" w:rsidP="00000000" w:rsidRDefault="00000000" w:rsidRPr="00000000" w14:paraId="0000000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Submission: </w:t>
      </w:r>
      <w:r w:rsidDel="00000000" w:rsidR="00000000" w:rsidRPr="00000000">
        <w:rPr>
          <w:rFonts w:ascii="Times New Roman" w:cs="Times New Roman" w:eastAsia="Times New Roman" w:hAnsi="Times New Roman"/>
          <w:sz w:val="24"/>
          <w:szCs w:val="24"/>
          <w:rtl w:val="0"/>
        </w:rPr>
        <w:t xml:space="preserve">Nov 12, 2024</w:t>
      </w:r>
    </w:p>
    <w:p w:rsidR="00000000" w:rsidDel="00000000" w:rsidP="00000000" w:rsidRDefault="00000000" w:rsidRPr="00000000" w14:paraId="000000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d85c6"/>
          <w:sz w:val="24"/>
          <w:szCs w:val="24"/>
          <w:rtl w:val="0"/>
        </w:rPr>
        <w:t xml:space="preserve">Word Count:</w:t>
      </w:r>
      <w:r w:rsidDel="00000000" w:rsidR="00000000" w:rsidRPr="00000000">
        <w:rPr>
          <w:rFonts w:ascii="Times New Roman" w:cs="Times New Roman" w:eastAsia="Times New Roman" w:hAnsi="Times New Roman"/>
          <w:b w:val="1"/>
          <w:bCs w:val="1"/>
          <w:color w:val="3c78d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1460</w:t>
      </w:r>
    </w:p>
    <w:p w:rsidR="00000000" w:rsidDel="00000000" w:rsidP="00000000" w:rsidRDefault="00000000" w:rsidRPr="00000000" w14:paraId="0000000C">
      <w:pPr>
        <w:spacing w:after="120" w:line="360" w:lineRule="auto"/>
        <w:jc w:val="both"/>
        <w:rPr>
          <w:rFonts w:ascii="Times New Roman" w:cs="Times New Roman" w:eastAsia="Times New Roman" w:hAnsi="Times New Roman"/>
          <w:b w:val="1"/>
          <w:bCs w:val="1"/>
          <w:color w:val="0070c0"/>
          <w:sz w:val="24"/>
          <w:szCs w:val="24"/>
        </w:rPr>
      </w:pPr>
      <w:r w:rsidDel="00000000" w:rsidR="00000000" w:rsidRPr="00000000">
        <w:rPr>
          <w:rtl w:val="0"/>
        </w:rPr>
      </w:r>
    </w:p>
    <w:tbl>
      <w:tblPr>
        <w:tblStyle w:val="Table1"/>
        <w:tblW w:w="1008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4665"/>
        <w:tblGridChange w:id="0">
          <w:tblGrid>
            <w:gridCol w:w="5415"/>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20" w:line="360" w:lineRule="auto"/>
              <w:jc w:val="both"/>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Submitted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120" w:line="360" w:lineRule="auto"/>
              <w:jc w:val="both"/>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Submitted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Salimullah Khan, PhD</w:t>
            </w:r>
          </w:p>
          <w:p w:rsidR="00000000" w:rsidDel="00000000" w:rsidP="00000000" w:rsidRDefault="00000000" w:rsidRPr="00000000" w14:paraId="0000001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w:t>
            </w:r>
          </w:p>
          <w:p w:rsidR="00000000" w:rsidDel="00000000" w:rsidP="00000000" w:rsidRDefault="00000000" w:rsidRPr="00000000" w14:paraId="0000001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Education Program (GED)</w:t>
            </w:r>
          </w:p>
          <w:p w:rsidR="00000000" w:rsidDel="00000000" w:rsidP="00000000" w:rsidRDefault="00000000" w:rsidRPr="00000000" w14:paraId="00000012">
            <w:pPr>
              <w:spacing w:after="120"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Md. Miraz Hossain</w:t>
            </w:r>
          </w:p>
          <w:p w:rsidR="00000000" w:rsidDel="00000000" w:rsidP="00000000" w:rsidRDefault="00000000" w:rsidRPr="00000000" w14:paraId="0000001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Media Studies and Journalism</w:t>
            </w:r>
          </w:p>
          <w:p w:rsidR="00000000" w:rsidDel="00000000" w:rsidP="00000000" w:rsidRDefault="00000000" w:rsidRPr="00000000" w14:paraId="0000001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233012000</w:t>
            </w:r>
          </w:p>
          <w:p w:rsidR="00000000" w:rsidDel="00000000" w:rsidP="00000000" w:rsidRDefault="00000000" w:rsidRPr="00000000" w14:paraId="0000001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History of Modern South Asia</w:t>
            </w:r>
          </w:p>
          <w:p w:rsidR="00000000" w:rsidDel="00000000" w:rsidP="00000000" w:rsidRDefault="00000000" w:rsidRPr="00000000" w14:paraId="0000001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HUM2204</w:t>
            </w:r>
          </w:p>
          <w:p w:rsidR="00000000" w:rsidDel="00000000" w:rsidP="00000000" w:rsidRDefault="00000000" w:rsidRPr="00000000" w14:paraId="0000001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01</w:t>
            </w:r>
          </w:p>
        </w:tc>
      </w:tr>
    </w:tbl>
    <w:p w:rsidR="00000000" w:rsidDel="00000000" w:rsidP="00000000" w:rsidRDefault="00000000" w:rsidRPr="00000000" w14:paraId="00000019">
      <w:pPr>
        <w:pStyle w:val="Title"/>
        <w:keepNext w:val="0"/>
        <w:keepLines w:val="0"/>
        <w:spacing w:before="280" w:line="480" w:lineRule="auto"/>
        <w:jc w:val="both"/>
        <w:rPr>
          <w:rFonts w:ascii="Times New Roman" w:cs="Times New Roman" w:eastAsia="Times New Roman" w:hAnsi="Times New Roman"/>
          <w:b w:val="1"/>
          <w:bCs w:val="1"/>
          <w:sz w:val="24"/>
          <w:szCs w:val="24"/>
        </w:rPr>
      </w:pPr>
      <w:bookmarkStart w:colFirst="0" w:colLast="0" w:name="_er5mc5yhhmb6" w:id="6"/>
      <w:bookmarkEnd w:id="6"/>
      <w:r w:rsidDel="00000000" w:rsidR="00000000" w:rsidRPr="00000000">
        <w:rPr>
          <w:rtl w:val="0"/>
        </w:rPr>
      </w:r>
    </w:p>
    <w:p w:rsidR="00000000" w:rsidDel="00000000" w:rsidP="00000000" w:rsidRDefault="00000000" w:rsidRPr="00000000" w14:paraId="0000001A">
      <w:pPr>
        <w:pStyle w:val="Title"/>
        <w:keepNext w:val="0"/>
        <w:keepLines w:val="0"/>
        <w:spacing w:before="280" w:line="480" w:lineRule="auto"/>
        <w:jc w:val="both"/>
        <w:rPr>
          <w:rFonts w:ascii="Times New Roman" w:cs="Times New Roman" w:eastAsia="Times New Roman" w:hAnsi="Times New Roman"/>
          <w:b w:val="1"/>
          <w:bCs w:val="1"/>
          <w:sz w:val="24"/>
          <w:szCs w:val="24"/>
        </w:rPr>
      </w:pPr>
      <w:bookmarkStart w:colFirst="0" w:colLast="0" w:name="_985yp1pv1xr8" w:id="7"/>
      <w:bookmarkEnd w:id="7"/>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keepNext w:val="0"/>
        <w:keepLines w:val="0"/>
        <w:spacing w:before="280" w:line="480" w:lineRule="auto"/>
        <w:jc w:val="center"/>
        <w:rPr>
          <w:rFonts w:ascii="Times New Roman" w:cs="Times New Roman" w:eastAsia="Times New Roman" w:hAnsi="Times New Roman"/>
          <w:b w:val="1"/>
          <w:bCs w:val="1"/>
          <w:sz w:val="28"/>
          <w:szCs w:val="28"/>
        </w:rPr>
      </w:pPr>
      <w:bookmarkStart w:colFirst="0" w:colLast="0" w:name="_tbtj13sfiodo" w:id="8"/>
      <w:bookmarkEnd w:id="8"/>
      <w:r w:rsidDel="00000000" w:rsidR="00000000" w:rsidRPr="00000000">
        <w:rPr>
          <w:rFonts w:ascii="Times New Roman" w:cs="Times New Roman" w:eastAsia="Times New Roman" w:hAnsi="Times New Roman"/>
          <w:b w:val="1"/>
          <w:bCs w:val="1"/>
          <w:sz w:val="28"/>
          <w:szCs w:val="28"/>
          <w:rtl w:val="0"/>
        </w:rPr>
        <w:t xml:space="preserve">Resistance to the Company Raj in Colonial South Asia (1757-1857)</w:t>
      </w:r>
    </w:p>
    <w:p w:rsidR="00000000" w:rsidDel="00000000" w:rsidP="00000000" w:rsidRDefault="00000000" w:rsidRPr="00000000" w14:paraId="0000001C">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uzcq2g5alof5" w:id="9"/>
      <w:bookmarkEnd w:id="9"/>
      <w:r w:rsidDel="00000000" w:rsidR="00000000" w:rsidRPr="00000000">
        <w:rPr>
          <w:rFonts w:ascii="Times New Roman" w:cs="Times New Roman" w:eastAsia="Times New Roman" w:hAnsi="Times New Roman"/>
          <w:b w:val="1"/>
          <w:bCs w:val="1"/>
          <w:color w:val="4a86e8"/>
          <w:rtl w:val="0"/>
        </w:rPr>
        <w:t xml:space="preserve">Introduction</w:t>
      </w:r>
    </w:p>
    <w:p w:rsidR="00000000" w:rsidDel="00000000" w:rsidP="00000000" w:rsidRDefault="00000000" w:rsidRPr="00000000" w14:paraId="000000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of the British into India is an event that shaped the course of south asian history. The East India Company (EIC) came as a business entity and gradually morphed into a political force with their sheer cunning political will and the help of local collaborators. Eventually, they established colonial rule, after Siraj-ud-Daulah’s defeat in the Battle of Plassey in 1757. </w:t>
      </w:r>
    </w:p>
    <w:p w:rsidR="00000000" w:rsidDel="00000000" w:rsidP="00000000" w:rsidRDefault="00000000" w:rsidRPr="00000000" w14:paraId="0000001E">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However, the shift was not easy for them. The colonial expansion through the EIC faced strong resistance. As Bose and Jalal (2023) point out, Indian society was “astir throughout the period of colonial consolidation under the company state,” as diverse sections of society, “including rural magnates, peasants, tribals and urban artisans” opposed EIC control and exploitation (p. 133)​. Since people were suffering from the exploitation of the company raj, they all soon started resisting in different ways and different regions..</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3ck1qxfgi6bv" w:id="10"/>
      <w:bookmarkEnd w:id="10"/>
      <w:r w:rsidDel="00000000" w:rsidR="00000000" w:rsidRPr="00000000">
        <w:rPr>
          <w:rFonts w:ascii="Times New Roman" w:cs="Times New Roman" w:eastAsia="Times New Roman" w:hAnsi="Times New Roman"/>
          <w:b w:val="1"/>
          <w:bCs w:val="1"/>
          <w:color w:val="4a86e8"/>
          <w:rtl w:val="0"/>
        </w:rPr>
        <w:t xml:space="preserve">Exploitation and Frustration</w:t>
      </w:r>
    </w:p>
    <w:p w:rsidR="00000000" w:rsidDel="00000000" w:rsidP="00000000" w:rsidRDefault="00000000" w:rsidRPr="00000000" w14:paraId="000000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Permanent Settlement of 1793, “by which a private property right in revenue collection was assigned to the zamindars of Bengal (Bose &amp; Jalal, 2023 p. 109),” was an exploitative policy that alienated large sections of India’s agrarian society. This system placed financial pressure on landlords and cultivators alike  p. 109). “With this single stroke of the pen, all legal titles of peasants regarding land were cancelled and they were turned into mere tenants, whilst the zamindars– as ‘landowners’ yet not proprietors– were henceforth made solely responsible for the payment of revenues.” (Mann, 2023, p. 143)</w:t>
      </w:r>
    </w:p>
    <w:p w:rsidR="00000000" w:rsidDel="00000000" w:rsidP="00000000" w:rsidRDefault="00000000" w:rsidRPr="00000000" w14:paraId="0000002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economic distress extended beyond Bengal. Bose and Jalal note that other regions experienced similar exploitation, notably through the Ryotwari and Mahalwari systems that were prevalent in Madras and northern India, respectively​. </w:t>
      </w:r>
    </w:p>
    <w:p w:rsidR="00000000" w:rsidDel="00000000" w:rsidP="00000000" w:rsidRDefault="00000000" w:rsidRPr="00000000" w14:paraId="00000022">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revenue systems placed substantial burdens on the peasantry. It not only impoverished rural communities but also exacerbated local tensions.</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rlb4axxf7clf" w:id="11"/>
      <w:bookmarkEnd w:id="11"/>
      <w:r w:rsidDel="00000000" w:rsidR="00000000" w:rsidRPr="00000000">
        <w:rPr>
          <w:rFonts w:ascii="Times New Roman" w:cs="Times New Roman" w:eastAsia="Times New Roman" w:hAnsi="Times New Roman"/>
          <w:b w:val="1"/>
          <w:bCs w:val="1"/>
          <w:color w:val="4a86e8"/>
          <w:rtl w:val="0"/>
        </w:rPr>
        <w:t xml:space="preserve">Religious and Cultural Resistance</w:t>
      </w:r>
    </w:p>
    <w:p w:rsidR="00000000" w:rsidDel="00000000" w:rsidP="00000000" w:rsidRDefault="00000000" w:rsidRPr="00000000" w14:paraId="000000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British tried to interfere with Indian society with three principle ideas— free trade, utilitarianism and evangelism. But these expectations “remained largely unfulfilled and misplaced” (Bose &amp; Jalal, 2023, p. 119)</w:t>
      </w:r>
    </w:p>
    <w:p w:rsidR="00000000" w:rsidDel="00000000" w:rsidP="00000000" w:rsidRDefault="00000000" w:rsidRPr="00000000" w14:paraId="0000002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that faced the most fierce resistance was the missionary urge aimed to weaken established Indian religions like Hinduism and Islam and convert people to Christianity to “uplifted hapless colonial subjects.” </w:t>
      </w:r>
    </w:p>
    <w:p w:rsidR="00000000" w:rsidDel="00000000" w:rsidP="00000000" w:rsidRDefault="00000000" w:rsidRPr="00000000" w14:paraId="0000002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Religious opposition also fueled anti-colonial sentiment across India. The British efforts to reform local religious practices, such as the Sati in 1829, were perceived as intrusive and disrespectful to Indian customs. “This society even petitioned against Bentinck's abolition of sati. Its leaders did not defend sati as such but stoutly opposed colonial legal interference in Indian social customs.”(Bose &amp; Jalal, 2023, p. 127)</w:t>
      </w:r>
    </w:p>
    <w:p w:rsidR="00000000" w:rsidDel="00000000" w:rsidP="00000000" w:rsidRDefault="00000000" w:rsidRPr="00000000" w14:paraId="0000002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Reformist Islamic movements, such as those led by Shah Waliullah’s followers and Sayyid Ahmad of Rai Bareilly, focused on religious and social rejuvenation. Religious revival movements, such as the Faraizi movement in Bengal emerged as powerful responses to colonial encroachment. These movements opposed British influence by calling for a return to Islamic purity, framing resistance as a religious duty.</w:t>
      </w:r>
    </w:p>
    <w:p w:rsidR="00000000" w:rsidDel="00000000" w:rsidP="00000000" w:rsidRDefault="00000000" w:rsidRPr="00000000" w14:paraId="000000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Hindu and Muslim leaders recognized the British as a cultural and religious threat, which strengthened local resistance. Similar to the way how different people in Bangladesh bonded against Hasina and her goons in 2024.</w:t>
      </w:r>
    </w:p>
    <w:p w:rsidR="00000000" w:rsidDel="00000000" w:rsidP="00000000" w:rsidRDefault="00000000" w:rsidRPr="00000000" w14:paraId="00000029">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3ecydyosn2ip" w:id="12"/>
      <w:bookmarkEnd w:id="12"/>
      <w:r w:rsidDel="00000000" w:rsidR="00000000" w:rsidRPr="00000000">
        <w:rPr>
          <w:rFonts w:ascii="Times New Roman" w:cs="Times New Roman" w:eastAsia="Times New Roman" w:hAnsi="Times New Roman"/>
          <w:b w:val="1"/>
          <w:bCs w:val="1"/>
          <w:color w:val="4a86e8"/>
          <w:rtl w:val="0"/>
        </w:rPr>
        <w:t xml:space="preserve">Tribal Resistance and Rural Insurrections</w:t>
      </w:r>
    </w:p>
    <w:p w:rsidR="00000000" w:rsidDel="00000000" w:rsidP="00000000" w:rsidRDefault="00000000" w:rsidRPr="00000000" w14:paraId="000000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Tribal communities, particularly in the forests and hill regions were the staunch opponents of the Company state. Bose and Jalal (2023) note, “company raj redefined Indian forests as separate from the agricultural plains before launching a major onslaught on forests and forest peoples. Large-scale deforestation not only produced climatic change but also led to the disruption of tribal lands and the rude intrusion of money into tribal economies.” (p. 121)</w:t>
      </w:r>
    </w:p>
    <w:p w:rsidR="00000000" w:rsidDel="00000000" w:rsidP="00000000" w:rsidRDefault="00000000" w:rsidRPr="00000000" w14:paraId="000000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Mappila Muslims rose against Hindu landlords and British officials. The poligars, warrior lords in regions like Tamil Nadu, resisted British encroachment on their authority and resources. Weavers and craftsmen, affected by the influx of cheap British-manufactured goods, protested in cities such as Delhi and other northern towns. Then there were grain riots. These uprisings, such as those in Madras in 1806, 1833, and 1854, were a reaction to food scarcity and economic hardship imposed by colonial policies</w:t>
      </w:r>
    </w:p>
    <w:p w:rsidR="00000000" w:rsidDel="00000000" w:rsidP="00000000" w:rsidRDefault="00000000" w:rsidRPr="00000000" w14:paraId="000000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Bhils, Kols, and Santhals in central and eastern India mounted significant resistance against the British, most notably in the Santhal rebellion of 1855-56, which erupted in response to land alienation and exploitation by British-supported landlords (Subramanian, 2010)​.</w:t>
      </w:r>
    </w:p>
    <w:p w:rsidR="00000000" w:rsidDel="00000000" w:rsidP="00000000" w:rsidRDefault="00000000" w:rsidRPr="00000000" w14:paraId="0000002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 (2014) wrote the “British were always wary of rebellions of discontented peasants or ‘tribal savages’” (p. 37). He discusses how the British often viewed these uprisings as “primitive” and “irrational,” justifying their suppression of tribal resistance through an Orientalist lens that portrayed these communities as in need of ‘civilization.’ This aligns with Said’s (1978) concept of Orientalism, where colonial authorities depicted indigenous resistance as inherently uncivilised to justify repressive measures. However, tribal uprisings were far from irrational; they were carefully coordinated acts of defiance, aimed at preserving local autonomy and opposing the British intrusion into their socio-economic structures (Bose &amp; Jalal, 2023)​.</w:t>
      </w:r>
    </w:p>
    <w:p w:rsidR="00000000" w:rsidDel="00000000" w:rsidP="00000000" w:rsidRDefault="00000000" w:rsidRPr="00000000" w14:paraId="0000002E">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gxxqzsqomu37" w:id="13"/>
      <w:bookmarkEnd w:id="13"/>
      <w:r w:rsidDel="00000000" w:rsidR="00000000" w:rsidRPr="00000000">
        <w:rPr>
          <w:rFonts w:ascii="Times New Roman" w:cs="Times New Roman" w:eastAsia="Times New Roman" w:hAnsi="Times New Roman"/>
          <w:b w:val="1"/>
          <w:bCs w:val="1"/>
          <w:color w:val="4a86e8"/>
          <w:rtl w:val="0"/>
        </w:rPr>
        <w:t xml:space="preserve">Resistance from Local Elites and Princely States</w:t>
      </w:r>
    </w:p>
    <w:p w:rsidR="00000000" w:rsidDel="00000000" w:rsidP="00000000" w:rsidRDefault="00000000" w:rsidRPr="00000000" w14:paraId="000000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Subsidiary Alliance system, introduced by Lord Wellesley, was particularly resented as it forced Indian rulers into vassalage under the British. Leaders such as Tipu Sultan of Mysore and the Maratha Confederacy saw British expansion as a threat to their sovereignty and mounted fierce resistance (Subramanian, 2010, p. 70). The Doctrine of Lapse, implemented by Dalhousie, exacerbated this opposition by annexing states without a direct heir, further fueling discontent among Indian rulers (Bose &amp; Jalal, 2023, p. 104).</w:t>
      </w:r>
    </w:p>
    <w:p w:rsidR="00000000" w:rsidDel="00000000" w:rsidP="00000000" w:rsidRDefault="00000000" w:rsidRPr="00000000" w14:paraId="000000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Marathas (Western and Central India)</w:t>
      </w:r>
      <w:r w:rsidDel="00000000" w:rsidR="00000000" w:rsidRPr="00000000">
        <w:rPr>
          <w:rFonts w:ascii="Times New Roman" w:cs="Times New Roman" w:eastAsia="Times New Roman" w:hAnsi="Times New Roman"/>
          <w:sz w:val="24"/>
          <w:szCs w:val="24"/>
          <w:rtl w:val="0"/>
        </w:rPr>
        <w:t xml:space="preserve">: “Until 1761, the Maratha sardars of the Confederacy and the Peshwas in </w:t>
      </w:r>
      <w:r w:rsidDel="00000000" w:rsidR="00000000" w:rsidRPr="00000000">
        <w:rPr>
          <w:rFonts w:ascii="Times New Roman" w:cs="Times New Roman" w:eastAsia="Times New Roman" w:hAnsi="Times New Roman"/>
          <w:sz w:val="24"/>
          <w:szCs w:val="24"/>
          <w:rtl w:val="0"/>
        </w:rPr>
        <w:t xml:space="preserve">Poona</w:t>
      </w:r>
      <w:r w:rsidDel="00000000" w:rsidR="00000000" w:rsidRPr="00000000">
        <w:rPr>
          <w:rFonts w:ascii="Times New Roman" w:cs="Times New Roman" w:eastAsia="Times New Roman" w:hAnsi="Times New Roman"/>
          <w:sz w:val="24"/>
          <w:szCs w:val="24"/>
          <w:rtl w:val="0"/>
        </w:rPr>
        <w:t xml:space="preserve"> had been able to control substantial territories in northern and central India (Subramanian, 2010, p. 69).</w:t>
      </w:r>
    </w:p>
    <w:p w:rsidR="00000000" w:rsidDel="00000000" w:rsidP="00000000" w:rsidRDefault="00000000" w:rsidRPr="00000000" w14:paraId="0000003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They wanted to protect regional autonomy against external domination. The Anglo-Maratha Wars (1775–1818) were key conflicts which culminated in their eventual subjugation after intense military engagement. This resistance stemmed from their tradition of regional power and governance structures that the British aimed to dismantle (Bose &amp; Jalal, 2023).</w:t>
      </w:r>
    </w:p>
    <w:p w:rsidR="00000000" w:rsidDel="00000000" w:rsidP="00000000" w:rsidRDefault="00000000" w:rsidRPr="00000000" w14:paraId="0000003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Mysore under Haidar Ali and Tipu Sultan (Southern India)</w:t>
      </w:r>
      <w:r w:rsidDel="00000000" w:rsidR="00000000" w:rsidRPr="00000000">
        <w:rPr>
          <w:rFonts w:ascii="Times New Roman" w:cs="Times New Roman" w:eastAsia="Times New Roman" w:hAnsi="Times New Roman"/>
          <w:sz w:val="24"/>
          <w:szCs w:val="24"/>
          <w:rtl w:val="0"/>
        </w:rPr>
        <w:t xml:space="preserve">: Mysore, under Haidar Ali and later Tipu Sultan, resisted British expansion with robust military strategies and alliances with France. Tipu Sultan’s nationalism and his commitment to maintaining a prosperous, independent state marked his fierce resistance until his defeat and death in 1799 during the Fourth Anglo-Mysore War (Bose &amp; Jalal, 2022). </w:t>
      </w:r>
    </w:p>
    <w:p w:rsidR="00000000" w:rsidDel="00000000" w:rsidP="00000000" w:rsidRDefault="00000000" w:rsidRPr="00000000" w14:paraId="0000003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Sikh Empire under Ranjit Singh (Punjab)</w:t>
      </w:r>
      <w:r w:rsidDel="00000000" w:rsidR="00000000" w:rsidRPr="00000000">
        <w:rPr>
          <w:rFonts w:ascii="Times New Roman" w:cs="Times New Roman" w:eastAsia="Times New Roman" w:hAnsi="Times New Roman"/>
          <w:sz w:val="24"/>
          <w:szCs w:val="24"/>
          <w:rtl w:val="0"/>
        </w:rPr>
        <w:t xml:space="preserve">: The Sikh Empire, led by Ranjit Singh, maintained its sovereignty throughout the early 19th century and resisted British encroachment. However, following Ranjit Singh’s death in 1839, internal divisions weakened the state, facilitating British control by 1849 (Bose &amp; Jalal, 2022).</w:t>
      </w:r>
    </w:p>
    <w:p w:rsidR="00000000" w:rsidDel="00000000" w:rsidP="00000000" w:rsidRDefault="00000000" w:rsidRPr="00000000" w14:paraId="000000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Rebellious Subsidiary States (Awadh and Others)</w:t>
      </w:r>
      <w:r w:rsidDel="00000000" w:rsidR="00000000" w:rsidRPr="00000000">
        <w:rPr>
          <w:rFonts w:ascii="Times New Roman" w:cs="Times New Roman" w:eastAsia="Times New Roman" w:hAnsi="Times New Roman"/>
          <w:sz w:val="24"/>
          <w:szCs w:val="24"/>
          <w:rtl w:val="0"/>
        </w:rPr>
        <w:t xml:space="preserve">: States like Awadh suffered economic strain due to subsidiary alliances imposed by the British. Their strong resistance was rooted in frustration over lost sovereignty and financial exploitation. This resistance, however, was often subdued by superior British military power (Bose &amp; Jalal, 2023). The annexation of Awadh in 1856, for instance, was a teaser for the Revolt of 1857.</w:t>
      </w:r>
    </w:p>
    <w:p w:rsidR="00000000" w:rsidDel="00000000" w:rsidP="00000000" w:rsidRDefault="00000000" w:rsidRPr="00000000" w14:paraId="000000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annexation of states under this policy led to widespread resentment, most famously in Jhansi, where Rani Lakshmibai became a prominent figure of resistance during the 1857 Rebellion (p. 225). They wrote, “What gave the 1857 revolt its unique character was the convergence of multiple strands of resistance, the expansion of scale and a new level of intensity (p. 135).</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color w:val="4a86e8"/>
          <w:sz w:val="24"/>
          <w:szCs w:val="24"/>
          <w:rtl w:val="0"/>
        </w:rPr>
        <w:t xml:space="preserve">The 1857 Rebellion as a Culmination of Resistance</w:t>
      </w:r>
    </w:p>
    <w:p w:rsidR="00000000" w:rsidDel="00000000" w:rsidP="00000000" w:rsidRDefault="00000000" w:rsidRPr="00000000" w14:paraId="0000003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conflict started over greased cartridges for rifles. Bose and Jalal (2023) explained, “the cartridges were rumoured to have been smeared with cow and pig fat, repugnant to Hindus and Muslims alike, and this was widely seen as an insidious plot by the infidels to pollute Indians before forcing their conversion to Christianity (p. 137)” </w:t>
      </w:r>
    </w:p>
    <w:p w:rsidR="00000000" w:rsidDel="00000000" w:rsidP="00000000" w:rsidRDefault="00000000" w:rsidRPr="00000000" w14:paraId="0000003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as merely a military mutiny, the Rebellion of 1857 morphed into a massive civilian uprising. Bose and Jalal (2023) argue that this rebellion represented the culmination of decades of exploitation and repression, which united diverse social groups under a common cause. It reflects how Hasina’s 16 years of authoritarian rule culminated in the 2024 mass uprising. The rebellion quickly spread from Meerut to other regions. Talbot (2016) suggests that the unity displayed during the 1857 Rebellion demonstrated the possibility of an organised, pan-Indian resistance against the colonial state. He wrote, “for some Muslim rebels the struggle was seen as a jihad. (p. 86)”</w:t>
      </w:r>
    </w:p>
    <w:p w:rsidR="00000000" w:rsidDel="00000000" w:rsidP="00000000" w:rsidRDefault="00000000" w:rsidRPr="00000000" w14:paraId="0000003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British, on their part, viewed the rebellion through an Orientalist perspective, attributing it to the inherent “backwardness” and “fanaticism” of Indian society (Said, 1978).</w:t>
      </w:r>
    </w:p>
    <w:p w:rsidR="00000000" w:rsidDel="00000000" w:rsidP="00000000" w:rsidRDefault="00000000" w:rsidRPr="00000000" w14:paraId="0000003A">
      <w:pPr>
        <w:pStyle w:val="Heading4"/>
        <w:keepNext w:val="0"/>
        <w:keepLines w:val="0"/>
        <w:spacing w:after="40" w:before="240" w:line="480" w:lineRule="auto"/>
        <w:jc w:val="both"/>
        <w:rPr>
          <w:rFonts w:ascii="Times New Roman" w:cs="Times New Roman" w:eastAsia="Times New Roman" w:hAnsi="Times New Roman"/>
          <w:b w:val="1"/>
          <w:bCs w:val="1"/>
          <w:color w:val="4a86e8"/>
        </w:rPr>
      </w:pPr>
      <w:bookmarkStart w:colFirst="0" w:colLast="0" w:name="_v1cey60yvk" w:id="14"/>
      <w:bookmarkEnd w:id="14"/>
      <w:r w:rsidDel="00000000" w:rsidR="00000000" w:rsidRPr="00000000">
        <w:rPr>
          <w:rFonts w:ascii="Times New Roman" w:cs="Times New Roman" w:eastAsia="Times New Roman" w:hAnsi="Times New Roman"/>
          <w:b w:val="1"/>
          <w:bCs w:val="1"/>
          <w:color w:val="4a86e8"/>
          <w:rtl w:val="0"/>
        </w:rPr>
        <w:t xml:space="preserve">Conclusion</w:t>
      </w:r>
    </w:p>
    <w:p w:rsidR="00000000" w:rsidDel="00000000" w:rsidP="00000000" w:rsidRDefault="00000000" w:rsidRPr="00000000" w14:paraId="0000003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resistance to the Company Raj in colonial South Asia came from diverse sources, including economic exploitation, religious and cultural conflicts, tribal insurrections, and elite opposition. As Bose and Jalal (2023) note, Indian society was indeed “astir” during the Company Raj, with multiple social groups united in their opposition to British rule. </w:t>
      </w:r>
    </w:p>
    <w:p w:rsidR="00000000" w:rsidDel="00000000" w:rsidP="00000000" w:rsidRDefault="00000000" w:rsidRPr="00000000" w14:paraId="0000003C">
      <w:pPr>
        <w:pStyle w:val="Heading3"/>
        <w:keepNext w:val="0"/>
        <w:keepLines w:val="0"/>
        <w:spacing w:before="280" w:line="480" w:lineRule="auto"/>
        <w:jc w:val="both"/>
        <w:rPr>
          <w:rFonts w:ascii="Times New Roman" w:cs="Times New Roman" w:eastAsia="Times New Roman" w:hAnsi="Times New Roman"/>
          <w:b w:val="1"/>
          <w:bCs w:val="1"/>
          <w:color w:val="4a86e8"/>
          <w:sz w:val="24"/>
          <w:szCs w:val="24"/>
        </w:rPr>
      </w:pPr>
      <w:bookmarkStart w:colFirst="0" w:colLast="0" w:name="_ogvebtm13cvw" w:id="15"/>
      <w:bookmarkEnd w:id="15"/>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spacing w:before="280" w:line="480" w:lineRule="auto"/>
        <w:jc w:val="both"/>
        <w:rPr>
          <w:rFonts w:ascii="Times New Roman" w:cs="Times New Roman" w:eastAsia="Times New Roman" w:hAnsi="Times New Roman"/>
          <w:b w:val="1"/>
          <w:bCs w:val="1"/>
          <w:color w:val="4a86e8"/>
          <w:sz w:val="24"/>
          <w:szCs w:val="24"/>
        </w:rPr>
      </w:pPr>
      <w:bookmarkStart w:colFirst="0" w:colLast="0" w:name="_kovqgav8q27d" w:id="16"/>
      <w:bookmarkEnd w:id="16"/>
      <w:r w:rsidDel="00000000" w:rsidR="00000000" w:rsidRPr="00000000">
        <w:rPr>
          <w:rFonts w:ascii="Times New Roman" w:cs="Times New Roman" w:eastAsia="Times New Roman" w:hAnsi="Times New Roman"/>
          <w:b w:val="1"/>
          <w:bCs w:val="1"/>
          <w:color w:val="4a86e8"/>
          <w:sz w:val="24"/>
          <w:szCs w:val="24"/>
          <w:rtl w:val="0"/>
        </w:rPr>
        <w:t xml:space="preserve">References</w:t>
      </w:r>
    </w:p>
    <w:p w:rsidR="00000000" w:rsidDel="00000000" w:rsidP="00000000" w:rsidRDefault="00000000" w:rsidRPr="00000000" w14:paraId="0000003E">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Bose, S., &amp; Jalal, A. (2023). </w:t>
      </w:r>
      <w:r w:rsidDel="00000000" w:rsidR="00000000" w:rsidRPr="00000000">
        <w:rPr>
          <w:rFonts w:ascii="Times New Roman" w:cs="Times New Roman" w:eastAsia="Times New Roman" w:hAnsi="Times New Roman"/>
          <w:i w:val="1"/>
          <w:iCs w:val="1"/>
          <w:sz w:val="24"/>
          <w:szCs w:val="24"/>
          <w:rtl w:val="0"/>
        </w:rPr>
        <w:t xml:space="preserve">Modern South Asia: History, Culture, and Political Economy</w:t>
      </w:r>
      <w:r w:rsidDel="00000000" w:rsidR="00000000" w:rsidRPr="00000000">
        <w:rPr>
          <w:rFonts w:ascii="Times New Roman" w:cs="Times New Roman" w:eastAsia="Times New Roman" w:hAnsi="Times New Roman"/>
          <w:sz w:val="24"/>
          <w:szCs w:val="24"/>
          <w:rtl w:val="0"/>
        </w:rPr>
        <w:t xml:space="preserve"> (5th ed.). Routledge.</w:t>
      </w:r>
    </w:p>
    <w:p w:rsidR="00000000" w:rsidDel="00000000" w:rsidP="00000000" w:rsidRDefault="00000000" w:rsidRPr="00000000" w14:paraId="0000003F">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 M. (2014). </w:t>
      </w:r>
      <w:r w:rsidDel="00000000" w:rsidR="00000000" w:rsidRPr="00000000">
        <w:rPr>
          <w:rFonts w:ascii="Times New Roman" w:cs="Times New Roman" w:eastAsia="Times New Roman" w:hAnsi="Times New Roman"/>
          <w:i w:val="1"/>
          <w:iCs w:val="1"/>
          <w:sz w:val="24"/>
          <w:szCs w:val="24"/>
          <w:rtl w:val="0"/>
        </w:rPr>
        <w:t xml:space="preserve">South Asia’s Modern History: Thematic Perspectives</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040">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Said, E. (1978). </w:t>
      </w:r>
      <w:r w:rsidDel="00000000" w:rsidR="00000000" w:rsidRPr="00000000">
        <w:rPr>
          <w:rFonts w:ascii="Times New Roman" w:cs="Times New Roman" w:eastAsia="Times New Roman" w:hAnsi="Times New Roman"/>
          <w:i w:val="1"/>
          <w:iCs w:val="1"/>
          <w:sz w:val="24"/>
          <w:szCs w:val="24"/>
          <w:rtl w:val="0"/>
        </w:rPr>
        <w:t xml:space="preserve">Orientalism</w:t>
      </w:r>
      <w:r w:rsidDel="00000000" w:rsidR="00000000" w:rsidRPr="00000000">
        <w:rPr>
          <w:rFonts w:ascii="Times New Roman" w:cs="Times New Roman" w:eastAsia="Times New Roman" w:hAnsi="Times New Roman"/>
          <w:sz w:val="24"/>
          <w:szCs w:val="24"/>
          <w:rtl w:val="0"/>
        </w:rPr>
        <w:t xml:space="preserve">. Vintage Books.</w:t>
      </w:r>
    </w:p>
    <w:p w:rsidR="00000000" w:rsidDel="00000000" w:rsidP="00000000" w:rsidRDefault="00000000" w:rsidRPr="00000000" w14:paraId="00000041">
      <w:pPr>
        <w:spacing w:after="240" w:before="24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Subramanian, L. (2010). </w:t>
      </w:r>
      <w:r w:rsidDel="00000000" w:rsidR="00000000" w:rsidRPr="00000000">
        <w:rPr>
          <w:rFonts w:ascii="Times New Roman" w:cs="Times New Roman" w:eastAsia="Times New Roman" w:hAnsi="Times New Roman"/>
          <w:i w:val="1"/>
          <w:iCs w:val="1"/>
          <w:sz w:val="24"/>
          <w:szCs w:val="24"/>
          <w:rtl w:val="0"/>
        </w:rPr>
        <w:t xml:space="preserve">History of India, 1707-1857</w:t>
      </w:r>
      <w:r w:rsidDel="00000000" w:rsidR="00000000" w:rsidRPr="00000000">
        <w:rPr>
          <w:rFonts w:ascii="Times New Roman" w:cs="Times New Roman" w:eastAsia="Times New Roman" w:hAnsi="Times New Roman"/>
          <w:sz w:val="24"/>
          <w:szCs w:val="24"/>
          <w:rtl w:val="0"/>
        </w:rPr>
        <w:t xml:space="preserve">. Orient BlackSwan.</w:t>
      </w:r>
    </w:p>
    <w:p w:rsidR="00000000" w:rsidDel="00000000" w:rsidP="00000000" w:rsidRDefault="00000000" w:rsidRPr="00000000" w14:paraId="00000042">
      <w:pPr>
        <w:spacing w:after="240" w:before="240" w:line="480" w:lineRule="auto"/>
        <w:ind w:left="720"/>
        <w:jc w:val="both"/>
        <w:rPr>
          <w:sz w:val="24"/>
          <w:szCs w:val="24"/>
        </w:rPr>
      </w:pPr>
      <w:r w:rsidDel="00000000" w:rsidR="00000000" w:rsidRPr="00000000">
        <w:rPr>
          <w:rFonts w:ascii="Times New Roman" w:cs="Times New Roman" w:eastAsia="Times New Roman" w:hAnsi="Times New Roman"/>
          <w:sz w:val="24"/>
          <w:szCs w:val="24"/>
          <w:rtl w:val="0"/>
        </w:rPr>
        <w:t xml:space="preserve">Talbot, I. (2016). </w:t>
      </w:r>
      <w:r w:rsidDel="00000000" w:rsidR="00000000" w:rsidRPr="00000000">
        <w:rPr>
          <w:rFonts w:ascii="Times New Roman" w:cs="Times New Roman" w:eastAsia="Times New Roman" w:hAnsi="Times New Roman"/>
          <w:i w:val="1"/>
          <w:iCs w:val="1"/>
          <w:sz w:val="24"/>
          <w:szCs w:val="24"/>
          <w:rtl w:val="0"/>
        </w:rPr>
        <w:t xml:space="preserve">A History of Modern South Asia: Politics, States, Diasporas</w:t>
      </w:r>
      <w:r w:rsidDel="00000000" w:rsidR="00000000" w:rsidRPr="00000000">
        <w:rPr>
          <w:rFonts w:ascii="Times New Roman" w:cs="Times New Roman" w:eastAsia="Times New Roman" w:hAnsi="Times New Roman"/>
          <w:sz w:val="24"/>
          <w:szCs w:val="24"/>
          <w:rtl w:val="0"/>
        </w:rPr>
        <w:t xml:space="preserve">. Yale University Press.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