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96279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81334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30747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30747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30747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62884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24589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567895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368386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252869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314893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725090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90809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651742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77926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останова: (рис. [??])</w:t>
      </w:r>
    </w:p>
    <w:p>
      <w:pPr>
        <w:pStyle w:val="BodyText"/>
      </w:pPr>
      <w:r>
        <w:t xml:space="preserve">[breakpoint]](image/16.png){ #fig:016 width=70%}</w:t>
      </w:r>
    </w:p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221763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221763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325268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3103268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1"/>
    <w:p>
      <w:pPr>
        <w:pStyle w:val="CaptionedFigure"/>
      </w:pPr>
      <w:bookmarkStart w:id="101" w:name="fig:021"/>
      <w:r>
        <w:drawing>
          <wp:inline>
            <wp:extent cx="5334000" cy="3103268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Азимов Миразим</dc:creator>
  <dc:language>ru-RU</dc:language>
  <cp:keywords/>
  <dcterms:created xsi:type="dcterms:W3CDTF">2023-05-05T09:40:18Z</dcterms:created>
  <dcterms:modified xsi:type="dcterms:W3CDTF">2023-05-05T09:40:18Z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