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más relevante de la Capa 3 multimodal es un patrón diferenciado de genuinidad del reconocimiento facial entre subcasos: General Torres Escalante Casanare (ICM=0.190) &lt; Capitán Chaparro Catatumbo (ICM=0.272) &lt; Soldados Huila (ICM=0.299) &lt; Oficial Dabeiba (ICM=0.353). Este patrón emergió del análisis de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 Torres Escalante/Casanare (ICM=0.190) &lt; Capitán Chaparro/Catatumbo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genuinidad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genuino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Torres Escalante tiene consistentemente el ICM más bajo (0.190) — mayor sonrisa (AU12=0.091) y menor ceño (AU4=0.076) que cualquier otro compareciente del corpus. Este perfil facial es el más consistente con un reconocimiento performativo: Torres Escalante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Torres Escalante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Chaparro,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Torres Escalante)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Chaparro)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(Ollo La Tapia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no pudo ser procesado por restricciones de la plataforma YouTube, dejando el análisis en 4 de 5 audiencias.</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 xml:space="preserve">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video de Costa Caribe (subcaso La Popa, julio 2022) está bloqueado por DRM en YouTube y no pudo ser procesado.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Resolver el video Costa Caribe (DRM) para completar el Corpus C 5/5 en Capa 3.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 COMPLETADO (abril 2026): Features eGeMAPS v02 extraídos con OpenSMILE sobre 10.897 ventanas (4 subcasos). ICM vocal del compareciente calculado mediante cruce con diarizaciones AUs. ICM tri-canal ponderado calculado. Pendiente: integración en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Cinco de seis indicadores CFH muestran diferencias estadísticamente significativas en la dirección predicha.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La Capa 3 añade un hallazgo relevante: el General Torres Escalante (Casanare) tiene el ICM facial más bajo del corpus (0.190) — perfil de sonrisa dominante consistente con reconocimiento performativo — mientras que el subcaso Dabeiba presenta el ICM más alto (0.353), posiblemente asociado a la materialidad concreta de ese subcaso (49 fosas físicamente recuperadas). Estos resultados son exploratorios y requieren validación perceptual, pero abren una línea de investigación sobre la expresión emocional en los actos de justicia transicional que no ha sido explorada cuantitativamente en la literatura.</w:t>
      </w:r>
    </w:p>
    <w:p>
      <w:pPr>
        <w:jc w:val="both"/>
        <w:spacing w:after="160" w:line="340"/>
      </w:pPr>
      <w:r>
        <w:rPr>
          <w:sz w:val="22"/>
          <w:szCs w:val="22"/>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es el patrón estructural dominante en las audiencias de reconocimiento.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200" w:line="360" w:lineRule="auto"/>
        <w:ind w:firstLine="720"/>
        <w:jc w:val="both"/>
      </w:pPr>
      <w:r>
        <w:rPr>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Cinco de seis indicadores CFH muestran diferencias estadísticamente significativas entre Corpus A y B.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