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5. Resultados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del Corpus C — en proceso). Los resultados de CFH-BERT v2 se presentan en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5.1 Descripción del corpus procesado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400"/>
        <w:gridCol w:w="40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Corpus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Docs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reparación directa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A-CSJ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Sala Penal — casación</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B-JEP</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Autos y resoluciones SRVR — Macrocaso 003 (≥200 ✓)</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C-JEP oral</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Audiencias JEP — 45.9h | 1.17M chars</w:t>
            </w:r>
          </w:p>
        </w:tc>
      </w:tr>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300+</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4.085+</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1994–2024</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A + B escrito + C oral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 Corpus CFH — descripción por subsistema.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5.2 Capa 1 — Indicadores léxicos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5.2.1 Accountability y persona gramatical</w:t>
      </w:r>
    </w:p>
    <w:p>
      <w:pPr>
        <w:spacing w:after="200" w:line="360" w:lineRule="auto"/>
        <w:ind w:firstLine="720"/>
        <w:jc w:val="both"/>
      </w:pPr>
      <w:r>
        <w:rPr>
          <w:rFonts w:ascii="Times New Roman" w:cs="Times New Roman" w:eastAsia="Times New Roman" w:hAnsi="Times New Roman"/>
          <w:color w:val="000000"/>
          <w:sz w:val="24"/>
          <w:szCs w:val="24"/>
        </w:rPr>
        <w:t xml:space="preserve">El accountability_score — ratio de construcciones de primera persona activa vs. pasivas/impersonales —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5.2.2 Hedging — evasión epistémica</w:t>
      </w:r>
    </w:p>
    <w:p>
      <w:pPr>
        <w:spacing w:after="200" w:line="360" w:lineRule="auto"/>
        <w:ind w:firstLine="720"/>
        <w:jc w:val="both"/>
      </w:pPr>
      <w:r>
        <w:rPr>
          <w:rFonts w:ascii="Times New Roman" w:cs="Times New Roman" w:eastAsia="Times New Roman" w:hAnsi="Times New Roman"/>
          <w:color w:val="000000"/>
          <w:sz w:val="24"/>
          <w:szCs w:val="24"/>
        </w:rPr>
        <w:t xml:space="preserve">El hedging_density — marcadores de evasión epistémica por 100 palabras —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5.2.3 Léxico emocional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2726"/>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 emocional</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c>
          <w:tcPr>
            <w:tcW w:type="dxa" w:w="27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 CFH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Culpa / responsabilidad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nombra más la responsabilidad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Tristeza / sufrimiento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describe el sufrimiento; B lo procesa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confrontacional; B restaurativo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Confianza / derecho / garantía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invoca principios jurídicos genéricos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Violencia institucional (eufemismos)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usa más eufemismos militares</w:t>
            </w:r>
          </w:p>
        </w:tc>
      </w:tr>
      <w:tr>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Balance víctimas (índice compuesto)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0.656</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JEP más orientada al lenguaje de las víctimas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5.2. Léxico emocional Corpus A vs B — 6 dimensiones. Lexicón NRC adaptado al español judicial.</w:t>
      </w:r>
    </w:p>
    <w:p>
      <w:pPr>
        <w:spacing w:after="200" w:line="360" w:lineRule="auto"/>
        <w:ind w:firstLine="720"/>
        <w:jc w:val="both"/>
      </w:pPr>
      <w:r>
        <w:rPr>
          <w:rFonts w:ascii="Times New Roman" w:cs="Times New Roman" w:eastAsia="Times New Roman" w:hAnsi="Times New Roman"/>
          <w:color w:val="000000"/>
          <w:sz w:val="24"/>
          <w:szCs w:val="24"/>
        </w:rPr>
        <w:t xml:space="preserve">El balance_victimas (B=0.656 vs A=0.569) es el hallazgo más relevante del léxico emocional: el Corpus B está significativamente más orientado al lenguaje de las víctimas que al lenguaje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5.2.4 SA Score (y₂) y NV Score (y₄)</w:t>
      </w:r>
    </w:p>
    <w:p>
      <w:pPr>
        <w:spacing w:after="200" w:line="360" w:lineRule="auto"/>
        <w:ind w:firstLine="720"/>
        <w:jc w:val="both"/>
      </w:pPr>
      <w:r>
        <w:rPr>
          <w:rFonts w:ascii="Times New Roman" w:cs="Times New Roman" w:eastAsia="Times New Roman" w:hAnsi="Times New Roman"/>
          <w:color w:val="000000"/>
          <w:sz w:val="24"/>
          <w:szCs w:val="24"/>
        </w:rPr>
        <w:t xml:space="preserve">El SA Score no difiere significativamente entre los dos sistemas (A=0.885, B=0.913, p=0.934 n.s.) — es transversal al lenguaje jurídico-institucional colombiano. El NV Score es ligeramente mayor en el Corpus A (A=0.239, B=0.233, p=0.028 *). La correlación entre NV y REP es r=−0.082 — operan en dimensiones independientes.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5.3 Capa 2 — REP Score (y₁₀)</w:t>
      </w:r>
    </w:p>
    <w:p>
      <w:pPr>
        <w:spacing w:after="200" w:line="360" w:lineRule="auto"/>
        <w:ind w:firstLine="720"/>
        <w:jc w:val="both"/>
      </w:pPr>
      <w:r>
        <w:rPr>
          <w:rFonts w:ascii="Times New Roman" w:cs="Times New Roman" w:eastAsia="Times New Roman" w:hAnsi="Times New Roman"/>
          <w:color w:val="000000"/>
          <w:sz w:val="24"/>
          <w:szCs w:val="24"/>
        </w:rPr>
        <w:t xml:space="preserve">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5.4 Capa 2 — Distancias semánticas y₈ y y₉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00"/>
        <w:gridCol w:w="1000"/>
        <w:gridCol w:w="11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C</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B</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C</w:t>
            </w:r>
          </w:p>
        </w:tc>
        <w:tc>
          <w:tcPr>
            <w:tcW w:type="dxa" w:w="11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 (↓=más cercano)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p&lt;0.001 ***</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B=C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 (↓=más cercano)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&lt; A &lt; C</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5.3. Distancias semánticas y₈ y y₉ — ConfliBERT-Spanish. *** p&lt;0.001.</w:t>
      </w:r>
    </w:p>
    <w:p>
      <w:pPr>
        <w:spacing w:after="200" w:line="360" w:lineRule="auto"/>
        <w:ind w:firstLine="720"/>
        <w:jc w:val="both"/>
      </w:pPr>
      <w:r>
        <w:rPr>
          <w:rFonts w:ascii="Times New Roman" w:cs="Times New Roman" w:eastAsia="Times New Roman" w:hAnsi="Times New Roman"/>
          <w:color w:val="000000"/>
          <w:sz w:val="24"/>
          <w:szCs w:val="24"/>
        </w:rPr>
        <w:t xml:space="preserve">El Corpus B (JEP escrito) y el Corpus C (JEP oral) están igualmente cercanos al lenguaje de MAFAPO (y₈=0.191 en ambos). Para y₉ CIDH, el Corpus C oral (0.263) es más alejado que el Corpus A (0.254): los comparecientes hablan desde la experiencia vivida, no desde el derecho internacional. Eso es teóricamente coherente con Zehr (2002).</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5.5 CFH-BERT v2 — clasificador IO con weighted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Versión</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macro</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REP</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EBI</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SA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NV</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v1 (BIO, 9 clases)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0.68</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v2 (IO, 5 clases)</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0.58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0.77</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0.32</w:t>
            </w:r>
          </w:p>
        </w:tc>
        <w:tc>
          <w:tcPr>
            <w:tcW w:type="dxa" w:w="1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Δ (v2−v1)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+0.31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+0.06</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+0.04</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+0.28</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5.4. CFH-BERT v1 vs v2. n=100 anotaciones. Mejora más significativa en NV (+0.28) por weighted loss.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5.6 Brecha discursiva — evidencia integrada A vs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100"/>
        <w:gridCol w:w="2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Capa</w:t>
            </w:r>
          </w:p>
        </w:tc>
        <w:tc>
          <w:tcPr>
            <w:tcW w:type="dxa" w:w="2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Accountability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0.907</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&gt;&gt; B ✓ (B más restaurativo)</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Balance víctimas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0.656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0.028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 B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Dist. léxico 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0.990</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y₂ SA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0.885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0.934 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transversal al género jurídico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5.5. Evidencia integrada A vs B — 9 indicadores CFH Capas 1 y 2. * p&lt;0.05  *** p&lt;0.001  n.s. no significativo.</w:t>
      </w:r>
    </w:p>
    <w:p>
      <w:pPr>
        <w:spacing w:after="200" w:line="360" w:lineRule="auto"/>
        <w:ind w:firstLine="720"/>
        <w:jc w:val="both"/>
      </w:pPr>
      <w:r>
        <w:rPr>
          <w:rFonts w:ascii="Times New Roman" w:cs="Times New Roman" w:eastAsia="Times New Roman" w:hAnsi="Times New Roman"/>
          <w:color w:val="000000"/>
          <w:sz w:val="24"/>
          <w:szCs w:val="24"/>
        </w:rPr>
        <w:t xml:space="preserve">Ocho de nueve indicadores son significativos en la dirección predicha. El único no significativo es y₂ SA — confirmando su carácter transversal. La convergencia de seis indicadores con p&lt;0.001 constituye evidencia robusta y multimodal de la brecha discursiva entre la justicia ordinaria y la JEP.</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5.7 Control temporal y análisis de senderos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5.7.1 Control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 2018-2023</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2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0.139 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0.293 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0.217</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p=0.001 ***</w:t>
            </w:r>
          </w:p>
        </w:tc>
        <w:tc>
          <w:tcPr>
            <w:tcW w:type="dxa" w:w="2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5.6. Control temporal — A 2018-2023 vs B.</w:t>
      </w:r>
    </w:p>
    <w:p>
      <w:pPr>
        <w:pStyle w:val="Heading3"/>
        <w:spacing w:after="140" w:before="280"/>
        <w:outlineLvl w:val="2"/>
      </w:pPr>
      <w:r>
        <w:rPr>
          <w:rFonts w:ascii="Times New Roman" w:cs="Times New Roman" w:eastAsia="Times New Roman" w:hAnsi="Times New Roman"/>
          <w:b/>
          <w:bCs/>
          <w:i/>
          <w:iCs/>
          <w:color w:val="000000"/>
          <w:sz w:val="24"/>
          <w:szCs w:val="24"/>
        </w:rPr>
        <w:t xml:space="preserve">5.7.2 Análisis de senderos exploratorio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2426"/>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β</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Sig.</w:t>
            </w:r>
          </w:p>
        </w:tc>
        <w:tc>
          <w:tcPr>
            <w:tcW w:type="dxa" w:w="2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y₁₀ REP ← y₃ civil</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−5.337</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Predictor más fuerte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y₂ 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coexiste con REP en JEP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y₄ 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coexiste con REP en Corpus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MAFAPO ← y₃ civil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MAFAPO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CIDH ← y₃ civil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la CIDH</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5.7. Path analysis exploratorio — CFI=0.619, RMSEA=0.437, n=873.</w:t>
      </w:r>
    </w:p>
    <w:p>
      <w:pPr>
        <w:spacing w:after="200" w:line="360" w:lineRule="auto"/>
        <w:ind w:firstLine="720"/>
        <w:jc w:val="both"/>
      </w:pPr>
      <w:r>
        <w:rPr>
          <w:rFonts w:ascii="Times New Roman" w:cs="Times New Roman" w:eastAsia="Times New Roman" w:hAnsi="Times New Roman"/>
          <w:color w:val="000000"/>
          <w:sz w:val="24"/>
          <w:szCs w:val="24"/>
        </w:rPr>
        <w:t xml:space="preserve">El predictor más fuerte de la transición epistémica es y₃ distancia léxico-civil (β=−5.337, p&lt;0.001): la proximidad léxica al lenguaje de las víctimas civiles es el principal predictor del reconocimiento en el corpus CFH.</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5.8 Capa 3 — Diarización y análisis semántico Corpus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200"/>
        <w:gridCol w:w="1200"/>
        <w:gridCol w:w="1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Segmentos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y₈ MAFAPO</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y₉ CIDH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0.207</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0.259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1.389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0.193</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6.281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0.186</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~16.673</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0.191</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0.263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5.9. Corpus C — resultados por subcaso. y₈ y y₉ calculados con ConfliBERT-Spanish sobre 588 bloques. Verde = subcasos más cercanos a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semántico del Corpus C revela diferencias importantes entre subcasos. Huila (y₈=0.186) y Costa Caribe/Dabeiba (y₈=0.189) son los subcasos más cercanos semánticamente al lenguaje de las víctimas de MAFAPO, mientras que Catatumbo (y₈=0.207) es el más distante — coincidentemente el subcaso con mayor porcentaje de silencio en el audio (gaps en minutos 240-330). La media del Corpus C (y₈=0.191) es idéntica a la del Corpus B escrito, confirmando que el lenguaje oral de las audiencias JEP está igualmente cercano a las víctimas que el lenguaje escrito formal. Para y₉ CIDH, todos los subcasos están más alejados que el Corpus B escrito (0.235), lo que es teóricamente coherente: los comparecientes hablan desde la experiencia vivida, no desde el lenguaje técnico-jurídico del derecho internacional humanitario.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5.9 Capa 3 — ICM facial: Action Units por subcaso</w:t>
      </w:r>
    </w:p>
    <w:p>
      <w:pPr>
        <w:spacing w:after="200" w:line="360" w:lineRule="auto"/>
        <w:ind w:firstLine="720"/>
        <w:jc w:val="both"/>
      </w:pPr>
      <w:r>
        <w:rPr>
          <w:rFonts w:ascii="Times New Roman" w:cs="Times New Roman" w:eastAsia="Times New Roman" w:hAnsi="Times New Roman"/>
          <w:color w:val="000000"/>
          <w:sz w:val="24"/>
          <w:szCs w:val="24"/>
        </w:rPr>
        <w:t xml:space="preserve">La Capa 3 multimodal del framework CFH extrae Action Units (AUs) faciales de los comparecientes en las audiencias de reconocimiento, utilizando MediaPipe FaceLandmarker sobre los segmentos de audio diarizados. Los speakers comparecientes fueron identificados mediante cruce de diarización con transcripciones de Whisper: SPEAKER_03 Casanare = General Torres Escalante (letrero JEP en pantalla); SPEAKER_03 Catatumbo = Cap. Juan Carlos Chaparro Chaparro; SPEAKER_01 Dabeiba = compareciente oficial (contenido textual); SPEAKER_06+07+08 Huila = soldados y suboficiales incluyendo a Luis Carlos Ollo La Tapia. La detección facial fue optimizada con umbral 0.3, 50 frames por segmento y recorte por cuadrantes — logrando tasas de 40-93%.</w:t>
      </w:r>
    </w:p>
    <w:p>
      <w:pPr>
        <w:spacing w:after="200" w:line="360" w:lineRule="auto"/>
        <w:ind w:firstLine="720"/>
        <w:jc w:val="both"/>
      </w:pPr>
      <w:r>
        <w:rPr>
          <w:sz w:val="24"/>
          <w:szCs w:val="24"/>
        </w:rPr>
        <w:t xml:space="preserve">Nota epistemológica sobre la Capa 3: los resultados que se presentan a continuación deben leerse con una cautela fundamental. Conforme a Barrett et al. (2019), las expresiones faciales no decodifican estados emocionales internos de manera universal. El ICM facial reportado en esta sección no mide sinceridad individual de los comparecientes. Mide patrones de congruencia entre canales comunicativos multimodales a nivel de corpus —una caracterización comparativa de las audiencias, no una evaluación de personas.</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800"/>
        <w:gridCol w:w="800"/>
        <w:gridCol w:w="800"/>
        <w:gridCol w:w="8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Compareciente / Rango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w:t>
            </w:r>
          </w:p>
        </w:tc>
        <w:tc>
          <w:tcPr>
            <w:tcW w:type="dxa" w:w="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score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Gral. Henry Torres Escalante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Cap. Juan Carlos Chaparro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Soldados/suboficiales (Ollo La Tapia+)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322</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93%</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0.299</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Dabeiba</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Oficial (coronel/teniente coronel)</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0.371</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0.079</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40%</w:t>
            </w:r>
          </w:p>
        </w:tc>
        <w:tc>
          <w:tcPr>
            <w:tcW w:type="dxa" w:w="8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0.353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5.10. ICM facial v3 por subcaso — MediaPipe FaceLandmarker optimizado. ICM = distress/(distress+sonrisa). Mayor ICM = reconocimiento más genuino. Ordenado por ICM ascendente.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facial con detección optimizada (v3) revela que Dabeiba presenta el ICM más alto (0.353) — no Huila como indicaba la versión preliminar. El patrón general se mantiene: General Torres Escalante tiene el ICM más bajo (0.190) y los comparecientes de menor rango tienen ICM más alto. Sin embargo, el orden exacto entre Huila (soldados, ICM=0.299) y Dabeiba (oficiales, ICM=0.353) invierte la hipótesis simple del gradiente por rango. Una interpretación alternativa más robusta es por contexto del subcaso: Dabeiba tiene el ICM más alto porque es el subcaso más materialmente concreto del corpus — los comparecientes guiaron personalmente a los investigadores a 49 fosas en el cementerio Las Mercedes. La materialidad física del crimen puede generar mayor distress facial independientemente del rango.</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Torres Escalante (Casanare) tiene el AU12 más alto (0.091) — mayor sonrisa — y el AU4 más bajo (0.076) — menor ceño. Este perfil de alta sonrisa y bajo ceño, en el contexto de un reconocimiento de responsabilidad por asesinato de civiles, es el más consistente con un patrón performativo en el corpus.</w:t>
      </w:r>
    </w:p>
    <w:p>
      <w:pPr>
        <w:spacing w:after="200" w:line="360" w:lineRule="auto"/>
        <w:ind w:firstLine="720"/>
        <w:jc w:val="both"/>
      </w:pPr>
      <w:r>
        <w:rPr>
          <w:rFonts w:ascii="Times New Roman" w:cs="Times New Roman" w:eastAsia="Times New Roman" w:hAnsi="Times New Roman"/>
          <w:color w:val="000000"/>
          <w:sz w:val="24"/>
          <w:szCs w:val="24"/>
        </w:rPr>
        <w:t xml:space="preserve">La detección facial varía entre audiencias (86% Casanare, 93% Huila, 55% Catatumbo, 40% Dabeiba). La baja detección en Dabeiba (40%) afecta la robustez de su ICM — los resultados deben interpretarse con cautela.</w:t>
      </w:r>
    </w:p>
    <w:p>
      <w:pPr>
        <w:spacing w:after="200" w:line="360" w:lineRule="auto"/>
        <w:ind w:firstLine="720"/>
        <w:jc w:val="both"/>
      </w:pPr>
      <w:r>
        <w:rPr>
          <w:sz w:val="22"/>
          <w:szCs w:val="22"/>
          <w:b/>
          <w:color w:val="0D2137"/>
        </w:rPr>
        <w:t xml:space="preserve">Tabla 5.11. ICM vocal (eGeMAPS) por subcaso — OpenSMILE eGeMAPS v02, segmentos diarizados del compareciente. ICM_vocal = (shimmer_norm + F0_std_norm) / 2. n = ventanas del compareciente tras cruce con diarización AUs.</w:t>
      </w:r>
    </w:p>
    <w:p>
      <w:pPr>
        <w:spacing w:after="200" w:line="360" w:lineRule="auto"/>
        <w:ind w:firstLine="720"/>
        <w:jc w:val="both"/>
      </w:pPr>
      <w:r>
        <w:rPr>
          <w:sz w:val="24"/>
          <w:szCs w:val="24"/>
        </w:rPr>
        <w:t xml:space="preserve">5.10 Capa 3 — ICM vocal: canal prosódico por subcaso
El canal prosódico se extrajo usando OpenSMILE eGeMAPS v02 (88 features) sobre los WAV de las cuatro audiencias a 16kHz, filtrando únicamente los segmentos temporales del compareciente mediante cruce con las diarizaciones MediaPipe (start/end de cada segmento AU). Se obtuvieron 354 ventanas para Casanare, 332 para Catatumbo, 83 para Dabeiba y 342 para Huila. El ICM vocal se calcula como la media de shimmer normalizado y F0_stddev normalizado por subcaso: mayor shimmer y mayor variabilidad de F0 indican mayor irregularidad vocal asociada a carga emocional alta.
Los resultados revelan que Dabeiba presenta el ICM vocal más alto (0.452) — mayor irregularidad prosódica, coherente con la materialidad del acto de reconocimiento (49 fosas). Casanare presenta un ICM vocal alto (0.415) pero con el shimmer más elevado del corpus (1.42 dB), lo que combinado con su ICM facial bajo (0.190) produce el patrón de mayor divergencia entre canales (Δ=0.225). Catatumbo y Huila son los subcasos con mayor convergencia entre canal facial y vocal (Δ=0.045 y Δ=0.035 respectivamente).</w:t>
      </w:r>
    </w:p>
    <w:p>
      <w:pPr>
        <w:spacing w:after="200" w:line="360" w:lineRule="auto"/>
        <w:ind w:firstLine="720"/>
        <w:jc w:val="both"/>
      </w:pPr>
      <w:r>
        <w:rPr>
          <w:sz w:val="22"/>
          <w:szCs w:val="22"/>
          <w:b/>
          <w:color w:val="0D2137"/>
        </w:rPr>
        <w:t xml:space="preserve">Tabla 5.12. ICM tri-canal ponderado por subcaso. ICM_tri = 0.40 × ICM_facial + 0.40 × ICM_vocal + 0.20 × ICM_verbal. ICM_verbal = 1 − (y₈ − y₈_min)/(y₈_max − y₈_min). Ordenado por ICM tri-canal ascendente.</w:t>
      </w:r>
    </w:p>
    <w:p>
      <w:pPr>
        <w:spacing w:after="200" w:line="360" w:lineRule="auto"/>
        <w:ind w:firstLine="720"/>
        <w:jc w:val="both"/>
      </w:pPr>
      <w:r>
        <w:rPr>
          <w:sz w:val="24"/>
          <w:szCs w:val="24"/>
        </w:rPr>
        <w:t xml:space="preserve">5.11 Capa 3 — ICM tri-canal ponderado
La versión tri-canal del ICM integra los tres canales comunicativos disponibles mediante ponderación explícita: ICM_tri = 0.40 × ICM_facial + 0.40 × ICM_vocal + 0.20 × ICM_verbal. El canal verbal se operacionaliza como la proximidad semántica al centroide MAFAPO (y₈), invertida y normalizada: mayor proximidad al lenguaje de las víctimas = mayor congruencia verbal. Los pesos reflejan la disponibilidad diferencial de datos: facial y vocal tienen cobertura completa sobre los cuatro subcasos; verbal tiene el 100% de cobertura pero es una aproximación indirecta.
El ICM tri-canal produce el siguiente ranking: Catatumbo (0.236) &lt; Casanare (0.375) &lt; Huila (0.454) &lt; Dabeiba (0.493). Este ranking difiere del ICM facial en un aspecto crítico: Catatumbo, que tenía el segundo ICM facial más bajo (0.272), pasa a ser el subcaso de menor congruencia tri-canal (0.236) debido a que su canal verbal es el más distante del lenguaje de MAFAPO (y₈=0.207 — el más alto del corpus C, es decir, el más alejado). Dabeiba, con la mayor materialidad del acto de reconocimiento, consolida el primer lugar en congruencia tri-canal (0.493). El caso Casanare sube del último al segundo lugar porque su canal vocal compensa parcialmente la baja congruencia facial — aunque la divergencia entre canales (Δ=0.225 facial-vocal) sigue siendo la más alta del corpus.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 PENDIENTE versión final: </w:t>
            </w:r>
            <w:r>
              <w:rPr>
                <w:rFonts w:ascii="Times New Roman" w:cs="Times New Roman" w:eastAsia="Times New Roman" w:hAnsi="Times New Roman"/>
                <w:i/>
                <w:iCs/>
                <w:color w:val="92400E"/>
                <w:sz w:val="22"/>
                <w:szCs w:val="22"/>
              </w:rPr>
              <w:t xml:space="preserve">ICM completo pendiente: (1) canal vocal eGeMAPS — shimmer, jitter, F0 por segmento diarizado, (2) video Costa Caribe sin DRM, (3) validación perceptual ICM vs. jueces humanos (Baird y Coutinho, 2019).</w:t>
            </w:r>
          </w:p>
        </w:tc>
      </w:tr>
    </w:tbl>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(2022). Resolución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MAFAPO.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Mann, H. B. y Whitney, D. R. (1947). On a test of whether one of two random variables is stochastically larger than the other. Annals of Mathematical Statistics, 18(1), 50–60.</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et al. (2023). ConfliBERT-Spanish.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2026-04-15T23:11:45.629Z</dcterms:created>
  <dcterms:modified xsi:type="dcterms:W3CDTF">2026-04-15T23:11:45.630Z</dcterms:modified>
</cp:coreProperties>
</file>

<file path=docProps/custom.xml><?xml version="1.0" encoding="utf-8"?>
<Properties xmlns="http://schemas.openxmlformats.org/officeDocument/2006/custom-properties" xmlns:vt="http://schemas.openxmlformats.org/officeDocument/2006/docPropsVTypes"/>
</file>