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Arial" w:cs="Arial" w:eastAsia="Arial" w:hAnsi="Arial"/>
          <w:b/>
          <w:bCs/>
          <w:color w:val="1B3A6B"/>
          <w:sz w:val="32"/>
          <w:szCs w:val="32"/>
        </w:rPr>
        <w:t xml:space="preserve">ADICIÓN — CAPÍTULO 3</w:t>
      </w:r>
    </w:p>
    <w:p>
      <w:pPr>
        <w:pBdr>
          <w:left w:val="single" w:color="B8860B" w:sz="12"/>
        </w:pBdr>
        <w:shd w:fill="FFF3CC" w:val="clear"/>
        <w:spacing w:after="120" w:before="120"/>
        <w:ind w:left="360"/>
      </w:pPr>
      <w:r>
        <w:rPr>
          <w:rFonts w:ascii="Arial" w:cs="Arial" w:eastAsia="Arial" w:hAnsi="Arial"/>
          <w:color w:val="404040"/>
          <w:sz w:val="20"/>
          <w:szCs w:val="20"/>
        </w:rPr>
        <w:t xml:space="preserve">📌 </w:t>
      </w:r>
      <w:r>
        <w:rPr>
          <w:rFonts w:ascii="Arial" w:cs="Arial" w:eastAsia="Arial" w:hAnsi="Arial"/>
          <w:i/>
          <w:iCs/>
          <w:color w:val="5C4000"/>
          <w:sz w:val="20"/>
          <w:szCs w:val="20"/>
        </w:rPr>
        <w:t xml:space="preserve">Insertar como §3.10 al final del Capítulo 3, después de §3.9 "Síntesis: la CFH como reparación algorítmica".</w:t>
      </w:r>
    </w:p>
    <w:p>
      <w:r>
        <w:rPr>
          <w:rFonts w:ascii="Arial" w:cs="Arial" w:eastAsia="Arial" w:hAnsi="Arial"/>
          <w:color w:val="404040"/>
          <w:sz w:val="22"/>
          <w:szCs w:val="22"/>
        </w:rPr>
        <w:t xml:space="preserve"/>
      </w:r>
    </w:p>
    <w:p>
      <w:pPr>
        <w:pStyle w:val="Heading2"/>
        <w:spacing w:after="160" w:before="320"/>
      </w:pPr>
      <w:r>
        <w:rPr>
          <w:rFonts w:ascii="Arial" w:cs="Arial" w:eastAsia="Arial" w:hAnsi="Arial"/>
          <w:b/>
          <w:bCs/>
          <w:color w:val="2E75B6"/>
          <w:sz w:val="28"/>
          <w:szCs w:val="28"/>
        </w:rPr>
        <w:t xml:space="preserve">3.10 Marco ético y gobernanza computacional de la CFH</w:t>
      </w:r>
    </w:p>
    <w:p>
      <w:pPr>
        <w:spacing w:after="160" w:before="0"/>
      </w:pPr>
      <w:r>
        <w:rPr>
          <w:rFonts w:ascii="Arial" w:cs="Arial" w:eastAsia="Arial" w:hAnsi="Arial"/>
          <w:color w:val="404040"/>
          <w:sz w:val="22"/>
          <w:szCs w:val="22"/>
        </w:rPr>
        <w:t xml:space="preserve">El desarrollo de la CFH como framework de inteligencia artificial aplicado a documentos judiciales y audiencias de justicia transicional implica una dimensión de gobernanza que va más allá de la validación técnica. Los sistemas de IA que analizan datos biométricos, procesan testimonios de víctimas y comparecientes, y producen indicadores sobre procesos judiciales en curso tienen impactos potenciales sobre derechos fundamentales que requieren un marco normativo explícito. Este apartado establece el marco ético y de gobernanza bajo el cual opera la CFH, articulando los estándares nacionales e internacionales aplicables con las decisiones metodológicas documentadas en los capítulos anteriores.</w:t>
      </w:r>
    </w:p>
    <w:p>
      <w:pPr>
        <w:pStyle w:val="Heading3"/>
        <w:spacing w:after="120" w:before="240"/>
      </w:pPr>
      <w:r>
        <w:rPr>
          <w:rFonts w:ascii="Arial" w:cs="Arial" w:eastAsia="Arial" w:hAnsi="Arial"/>
          <w:b/>
          <w:bCs/>
          <w:color w:val="404040"/>
          <w:sz w:val="24"/>
          <w:szCs w:val="24"/>
        </w:rPr>
        <w:t xml:space="preserve">3.10.1 Clasificación del sistema y marcos normativos aplicables</w:t>
      </w:r>
    </w:p>
    <w:p>
      <w:pPr>
        <w:spacing w:after="160" w:before="0"/>
      </w:pPr>
      <w:r>
        <w:rPr>
          <w:rFonts w:ascii="Arial" w:cs="Arial" w:eastAsia="Arial" w:hAnsi="Arial"/>
          <w:color w:val="404040"/>
          <w:sz w:val="22"/>
          <w:szCs w:val="22"/>
        </w:rPr>
        <w:t xml:space="preserve">La CFH se clasifica como sistema de inteligencia artificial de alto riesgo conforme a los criterios del Reglamento de IA de la Unión Europea (EU AI Act, Reglamento 2024/1689, Anexo III). Esta clasificación opera en tres dimensiones concurrentes: (1) análisis biométrico — el módulo de Capa 3 extrae Action Units faciales de personas identificables en audiencias judiciales públicas; (2) análisis de comportamiento en contexto judicial — el ICM produce indicadores sobre comparecientes en procesos ante la JEP; y (3) administración de justicia — los resultados se producen en el contexto directo de mecanismos de justicia transicional. Aunque la CFH es una herramienta de investigación académica y no un sistema de toma de decisiones automatizadas, la clasificación de alto riesgo aplica al tipo de datos procesados y al contexto institucional, con independencia del carácter decisorio del output.</w:t>
      </w:r>
    </w:p>
    <w:p>
      <w:pPr>
        <w:spacing w:after="160" w:before="0"/>
      </w:pPr>
      <w:r>
        <w:rPr>
          <w:rFonts w:ascii="Arial" w:cs="Arial" w:eastAsia="Arial" w:hAnsi="Arial"/>
          <w:color w:val="404040"/>
          <w:sz w:val="22"/>
          <w:szCs w:val="22"/>
        </w:rPr>
        <w:t xml:space="preserve">En el contexto colombiano, la normativa de referencia central es la Ley 1581 de 2012 de Protección de Datos Personales y su decreto reglamentario 1377 de 2013. Las imágenes faciales y las características de voz extraídas del Corpus C constituyen datos biométricos clasificados como datos sensibles bajo el artículo 5 de la Ley 1581, cuyo procesamiento requiere base legal explícita. La base legal en este caso es la función jurisdiccional pública de la JEP: todas las audiencias del Corpus C son audiencias públicas de reconocimiento de responsabilidad, transmitidas y archivadas institucionalmente para garantía del principio de publicidad procesal. El análisis computacional se realiza sobre los features derivados (88 features eGeMAPS y Action Units de MediaPipe), no sobre el audio o video crudo, aplicando el principio de minimización de datos.</w:t>
      </w:r>
    </w:p>
    <w:p>
      <w:pPr>
        <w:spacing w:after="160" w:before="0"/>
      </w:pPr>
      <w:r>
        <w:rPr>
          <w:rFonts w:ascii="Arial" w:cs="Arial" w:eastAsia="Arial" w:hAnsi="Arial"/>
          <w:color w:val="404040"/>
          <w:sz w:val="22"/>
          <w:szCs w:val="22"/>
        </w:rPr>
        <w:t xml:space="preserve">A nivel internacional, el presente framework se alinea con cinco marcos normativos de referencia: la Recomendación sobre la Ética de la Inteligencia Artificial de la UNESCO (2021), suscrita por Colombia; los Principios de IA de la OCDE (2019), adheridos por Colombia; el EU AI Act como referencia técnica de mejores prácticas; el NIST AI Risk Management Framework 1.0 (2023) para gestión estructurada de riesgos; y la Declaración de Toronto (2018) para protección de derechos humanos en sistemas de ML. La siguiente tabla resume el cumplimiento evaluado formalmente mediante la CFH Governance Audit Suite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936"/>
        <w:gridCol w:w="4680"/>
      </w:tblGrid>
      <w:tr>
        <w:tc>
          <w:tcPr>
            <w:tcW w:type="dxa" w:w="3744"/>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Marco normativo</w:t>
            </w:r>
          </w:p>
        </w:tc>
        <w:tc>
          <w:tcPr>
            <w:tcW w:type="dxa" w:w="93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Cumpl.</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Principales brechas identificadas</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Ley 1581/2012 — DPIA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8860B"/>
                <w:sz w:val="20"/>
                <w:szCs w:val="20"/>
              </w:rPr>
              <w:t xml:space="preserve">69%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Aval Comité Ética Externado pendiente; DPIA formal pendiente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UNESCO Recomendación 2021</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C2F"/>
                <w:sz w:val="20"/>
                <w:szCs w:val="20"/>
              </w:rPr>
              <w:t xml:space="preserve">78%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Gobernanza inclusiva (validación MAFAPO pendiente)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EU AI Act (ref. técnica)</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C2F"/>
                <w:sz w:val="20"/>
                <w:szCs w:val="20"/>
              </w:rPr>
              <w:t xml:space="preserve">89%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Test de robustez adversarial básico pendiente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NIST AI RMF 1.0</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C2F"/>
                <w:sz w:val="20"/>
                <w:szCs w:val="20"/>
              </w:rPr>
              <w:t xml:space="preserve">95%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Auditoría intersectional (Gender Shades) pendiente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Toronto Declaration</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C2F"/>
                <w:sz w:val="20"/>
                <w:szCs w:val="20"/>
              </w:rPr>
              <w:t xml:space="preserve">83%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Inclusión de comunidades afectadas en diseño pendiente</w:t>
            </w:r>
          </w:p>
        </w:tc>
      </w:tr>
    </w:tbl>
    <w:p>
      <w:pPr>
        <w:spacing w:after="200" w:before="80"/>
        <w:jc w:val="center"/>
      </w:pPr>
      <w:r>
        <w:rPr>
          <w:rFonts w:ascii="Arial" w:cs="Arial" w:eastAsia="Arial" w:hAnsi="Arial"/>
          <w:color w:val="404040"/>
          <w:sz w:val="22"/>
          <w:szCs w:val="22"/>
        </w:rPr>
        <w:t xml:space="preserve">Tabla 3.4. Cumplimiento normativo de la CFH — CFH Governance Audit Suite v1.0 (mayo 2026). Score global: 0.67/1.00 — nivel Condicional.</w:t>
      </w:r>
    </w:p>
    <w:p>
      <w:pPr>
        <w:pStyle w:val="Heading3"/>
        <w:spacing w:after="120" w:before="240"/>
      </w:pPr>
      <w:r>
        <w:rPr>
          <w:rFonts w:ascii="Arial" w:cs="Arial" w:eastAsia="Arial" w:hAnsi="Arial"/>
          <w:b/>
          <w:bCs/>
          <w:color w:val="404040"/>
          <w:sz w:val="24"/>
          <w:szCs w:val="24"/>
        </w:rPr>
        <w:t xml:space="preserve">3.10.2 Salvaguardas implementadas y limitaciones éticas</w:t>
      </w:r>
    </w:p>
    <w:p>
      <w:pPr>
        <w:spacing w:after="160" w:before="0"/>
      </w:pPr>
      <w:r>
        <w:rPr>
          <w:rFonts w:ascii="Arial" w:cs="Arial" w:eastAsia="Arial" w:hAnsi="Arial"/>
          <w:color w:val="404040"/>
          <w:sz w:val="22"/>
          <w:szCs w:val="22"/>
        </w:rPr>
        <w:t xml:space="preserve">Las salvaguardas epistemológicas documentadas en §3.7 — que el ICM mide congruencia entre canales comunicativos a nivel de corpus y no sinceridad individual (Barrett et al., 2019; Crivelli &amp; Fridlund, 2018; Reisenzein et al., 2013; Sen et al., 2024) — constituyen al mismo tiempo la salvaguarda ética central del módulo multimodal: el sistema no produce juicios sobre personas y no está conectado a ningún mecanismo decisorio de la JEP.</w:t>
      </w:r>
    </w:p>
    <w:p>
      <w:pPr>
        <w:spacing w:after="160" w:before="0"/>
      </w:pPr>
      <w:r>
        <w:rPr>
          <w:rFonts w:ascii="Arial" w:cs="Arial" w:eastAsia="Arial" w:hAnsi="Arial"/>
          <w:color w:val="404040"/>
          <w:sz w:val="22"/>
          <w:szCs w:val="22"/>
        </w:rPr>
        <w:t xml:space="preserve">La limitación ética más significativa identificada por la auditoría de gobernanza es el sesgo potencial de MediaPipe FaceLandmarker sobre rostros mestizos y afrocolombianos. Las tasas de detección facial varían entre 40% (Dabeiba) y 93% (Huila), diferencias estadísticamente significativas (χ²=820.6, p&lt;0.001) que pueden reflejar tanto condiciones técnicas de grabación como sesgos del modelo de detección. En ausencia de una auditoría intersectional conforme al protocolo Gender Shades (Buolamwini &amp; Gebru, 2018), los resultados de la Capa 3 facial deben interpretarse con cautela adicional respecto a la representatividad demográfica. Esta auditoría está prevista como acción prioritaria antes de la defensa de agosto 2026.</w:t>
      </w:r>
    </w:p>
    <w:p>
      <w:pPr>
        <w:spacing w:after="160" w:before="0"/>
      </w:pPr>
      <w:r>
        <w:rPr>
          <w:rFonts w:ascii="Arial" w:cs="Arial" w:eastAsia="Arial" w:hAnsi="Arial"/>
          <w:color w:val="404040"/>
          <w:sz w:val="22"/>
          <w:szCs w:val="22"/>
        </w:rPr>
        <w:t xml:space="preserve">Una segunda limitación ética concierne al uso de los textos de MAFAPO como corpus de referencia técnica para construir los centroides semánticos y₈. Estos textos son comunicados públicos producidos por las propias organizaciones para ser conocidos; sin embargo, existe una tensión entre su uso como insumo de medición y la participación directa de las organizaciones en el diseño del instrumento. Como trabajo futuro prioritario, §6.4 propone una fase de validación participativa con MAFAPO donde las propias organizaciones evalúen si los resultados de la CFH son coherentes con sus demandas de reconocimiento.</w:t>
      </w:r>
    </w:p>
    <w:p>
      <w:pPr>
        <w:spacing w:after="0" w:before="240"/>
      </w:pPr>
      <w:r>
        <w:rPr>
          <w:rFonts w:ascii="Arial" w:cs="Arial" w:eastAsia="Arial" w:hAnsi="Arial"/>
          <w:b/>
          <w:bCs/>
          <w:color w:val="404040"/>
          <w:sz w:val="22"/>
          <w:szCs w:val="22"/>
        </w:rPr>
        <w:t xml:space="preserve">Referencias del apartado: </w:t>
      </w:r>
      <w:r>
        <w:rPr>
          <w:rFonts w:ascii="Arial" w:cs="Arial" w:eastAsia="Arial" w:hAnsi="Arial"/>
          <w:color w:val="404040"/>
          <w:sz w:val="22"/>
          <w:szCs w:val="22"/>
        </w:rPr>
        <w:t xml:space="preserve">Barrett et al. (2019); Buolamwini &amp; Gebru (2018); Crivelli &amp; Fridlund (2018); EU AI Act — Reglamento 2024/1689; Ley 1581 de 2012; NIST AI RMF 1.0 (2023); Reisenzein et al. (2013); Sen et al. (2024); UNESCO Recomendación sobre la Ética de la IA (2021).</w:t>
      </w:r>
    </w:p>
    <w:p>
      <w:r>
        <w:rPr>
          <w:rFonts w:ascii="Arial" w:cs="Arial" w:eastAsia="Arial" w:hAnsi="Arial"/>
          <w:color w:val="404040"/>
          <w:sz w:val="22"/>
          <w:szCs w:val="22"/>
        </w:rPr>
        <w:t xml:space="preserve"/>
      </w:r>
    </w:p>
    <w:p>
      <w:r>
        <w:rPr>
          <w:rFonts w:ascii="Arial" w:cs="Arial" w:eastAsia="Arial" w:hAnsi="Arial"/>
          <w:color w:val="404040"/>
          <w:sz w:val="22"/>
          <w:szCs w:val="22"/>
        </w:rPr>
        <w:t xml:space="preserve"/>
      </w:r>
    </w:p>
    <w:p>
      <w:r>
        <w:br w:type="page"/>
      </w:r>
    </w:p>
    <w:p>
      <w:pPr>
        <w:pStyle w:val="Heading1"/>
        <w:spacing w:after="240" w:before="480"/>
      </w:pPr>
      <w:r>
        <w:rPr>
          <w:rFonts w:ascii="Arial" w:cs="Arial" w:eastAsia="Arial" w:hAnsi="Arial"/>
          <w:b/>
          <w:bCs/>
          <w:color w:val="1B3A6B"/>
          <w:sz w:val="32"/>
          <w:szCs w:val="32"/>
        </w:rPr>
        <w:t xml:space="preserve">ADICIÓN — CAPÍTULO 5</w:t>
      </w:r>
    </w:p>
    <w:p>
      <w:pPr>
        <w:pBdr>
          <w:left w:val="single" w:color="B8860B" w:sz="12"/>
        </w:pBdr>
        <w:shd w:fill="FFF3CC" w:val="clear"/>
        <w:spacing w:after="120" w:before="120"/>
        <w:ind w:left="360"/>
      </w:pPr>
      <w:r>
        <w:rPr>
          <w:rFonts w:ascii="Arial" w:cs="Arial" w:eastAsia="Arial" w:hAnsi="Arial"/>
          <w:color w:val="404040"/>
          <w:sz w:val="20"/>
          <w:szCs w:val="20"/>
        </w:rPr>
        <w:t xml:space="preserve">📌 </w:t>
      </w:r>
      <w:r>
        <w:rPr>
          <w:rFonts w:ascii="Arial" w:cs="Arial" w:eastAsia="Arial" w:hAnsi="Arial"/>
          <w:i/>
          <w:iCs/>
          <w:color w:val="5C4000"/>
          <w:sz w:val="20"/>
          <w:szCs w:val="20"/>
        </w:rPr>
        <w:t xml:space="preserve">Insertar como §5.16 al final del Capítulo 5, después de §5.15 "ICM tri-canal v2 — canal verbal mejorado con y₁₁".</w:t>
      </w:r>
    </w:p>
    <w:p>
      <w:r>
        <w:rPr>
          <w:rFonts w:ascii="Arial" w:cs="Arial" w:eastAsia="Arial" w:hAnsi="Arial"/>
          <w:color w:val="404040"/>
          <w:sz w:val="22"/>
          <w:szCs w:val="22"/>
        </w:rPr>
        <w:t xml:space="preserve"/>
      </w:r>
    </w:p>
    <w:p>
      <w:pPr>
        <w:pStyle w:val="Heading2"/>
        <w:spacing w:after="160" w:before="320"/>
      </w:pPr>
      <w:r>
        <w:rPr>
          <w:rFonts w:ascii="Arial" w:cs="Arial" w:eastAsia="Arial" w:hAnsi="Arial"/>
          <w:b/>
          <w:bCs/>
          <w:color w:val="2E75B6"/>
          <w:sz w:val="28"/>
          <w:szCs w:val="28"/>
        </w:rPr>
        <w:t xml:space="preserve">5.16 Auditoría de gobernanza — CFH Governance Audit Suite v1.0</w:t>
      </w:r>
    </w:p>
    <w:p>
      <w:pPr>
        <w:spacing w:after="160" w:before="0"/>
      </w:pPr>
      <w:r>
        <w:rPr>
          <w:rFonts w:ascii="Arial" w:cs="Arial" w:eastAsia="Arial" w:hAnsi="Arial"/>
          <w:color w:val="404040"/>
          <w:sz w:val="22"/>
          <w:szCs w:val="22"/>
        </w:rPr>
        <w:t xml:space="preserve">Con el fin de evaluar el cumplimiento del framework CFH con los principios de IA ética, equidad y protección de datos aplicables, se implementó la CFH Governance Audit Suite v1.0 — un conjunto de tests cuantitativos y checklists normativos ejecutados sobre los datos y modelos del framework. La suite cubre seis módulos: equidad y sesgo (M1), robustez y fiabilidad (M2), calidad de datos (M3), transparencia y explicabilidad (M4), gestión de riesgos (M5) y cumplimiento normativo (M6). El código fuente está disponible en el repositorio del proyecto bajo `governance/cfh_governance_audit.py`.</w:t>
      </w:r>
    </w:p>
    <w:p>
      <w:pPr>
        <w:pStyle w:val="Heading3"/>
        <w:spacing w:after="120" w:before="240"/>
      </w:pPr>
      <w:r>
        <w:rPr>
          <w:rFonts w:ascii="Arial" w:cs="Arial" w:eastAsia="Arial" w:hAnsi="Arial"/>
          <w:b/>
          <w:bCs/>
          <w:color w:val="404040"/>
          <w:sz w:val="24"/>
          <w:szCs w:val="24"/>
        </w:rPr>
        <w:t xml:space="preserve">5.16.1 Scores de gobernanza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936"/>
        <w:gridCol w:w="1872"/>
        <w:gridCol w:w="1872"/>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Módulo</w:t>
            </w:r>
          </w:p>
        </w:tc>
        <w:tc>
          <w:tcPr>
            <w:tcW w:type="dxa" w:w="93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187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Estándar principal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M1 Equidad y sesgo</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0.47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20"/>
                <w:szCs w:val="20"/>
              </w:rPr>
              <w:t xml:space="preserve">❌ Requiere mejoras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ISO 24027 | Gender Shades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M2 Robustez y fiabilidad</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8860B"/>
                <w:sz w:val="20"/>
                <w:szCs w:val="20"/>
              </w:rPr>
              <w:t xml:space="preserve">0.71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B8860B"/>
                <w:sz w:val="20"/>
                <w:szCs w:val="20"/>
              </w:rPr>
              <w:t xml:space="preserve">⚠ Condicional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ISO 24028 | NIST RMF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M3 Calidad de datos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C2F"/>
                <w:sz w:val="20"/>
                <w:szCs w:val="20"/>
              </w:rPr>
              <w:t xml:space="preserve">0.81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7C2F"/>
                <w:sz w:val="20"/>
                <w:szCs w:val="20"/>
              </w:rPr>
              <w:t xml:space="preserve">✅ Aprobado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EU AI Act Art.10 | Ley 1581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M4 Transparencia y explicabilidad</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8860B"/>
                <w:sz w:val="20"/>
                <w:szCs w:val="20"/>
              </w:rPr>
              <w:t xml:space="preserve">0.72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B8860B"/>
                <w:sz w:val="20"/>
                <w:szCs w:val="20"/>
              </w:rPr>
              <w:t xml:space="preserve">⚠ Condicional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UNESCO 2021 | OCDE 2019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M5 Gestión de riesgos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0.45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0392B"/>
                <w:sz w:val="20"/>
                <w:szCs w:val="20"/>
              </w:rPr>
              <w:t xml:space="preserve">❌ Requiere mejoras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NIST RMF | ISO 23894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M6 Cumplimiento normativo</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C2F"/>
                <w:sz w:val="20"/>
                <w:szCs w:val="20"/>
              </w:rPr>
              <w:t xml:space="preserve">0.83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7C2F"/>
                <w:sz w:val="20"/>
                <w:szCs w:val="20"/>
              </w:rPr>
              <w:t xml:space="preserve">✅ Aprobado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Ley 1581 | UNESCO | NIST</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404040"/>
                <w:sz w:val="20"/>
                <w:szCs w:val="20"/>
              </w:rPr>
              <w:t xml:space="preserve">SCORE GLOBAL</w:t>
            </w:r>
          </w:p>
        </w:tc>
        <w:tc>
          <w:tcPr>
            <w:tcW w:type="dxa" w:w="9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B8860B"/>
                <w:sz w:val="20"/>
                <w:szCs w:val="20"/>
              </w:rPr>
              <w:t xml:space="preserve">0.67</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B8860B"/>
                <w:sz w:val="20"/>
                <w:szCs w:val="20"/>
              </w:rPr>
              <w:t xml:space="preserve">⚠ Condicional</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Línea base mayo 2026</w:t>
            </w:r>
          </w:p>
        </w:tc>
      </w:tr>
    </w:tbl>
    <w:p>
      <w:pPr>
        <w:spacing w:after="200" w:before="80"/>
        <w:jc w:val="center"/>
      </w:pPr>
      <w:r>
        <w:rPr>
          <w:rFonts w:ascii="Arial" w:cs="Arial" w:eastAsia="Arial" w:hAnsi="Arial"/>
          <w:color w:val="404040"/>
          <w:sz w:val="22"/>
          <w:szCs w:val="22"/>
        </w:rPr>
        <w:t xml:space="preserve">Tabla 5.17. Scores de gobernanza CFH por módulo — Governance Audit Suite v1.0. Score proyectado tras completar acciones de prioridad ALTA: ~0.78 (nivel Aprobado).</w:t>
      </w:r>
    </w:p>
    <w:p>
      <w:pPr>
        <w:pStyle w:val="Heading3"/>
        <w:spacing w:after="120" w:before="240"/>
      </w:pPr>
      <w:r>
        <w:rPr>
          <w:rFonts w:ascii="Arial" w:cs="Arial" w:eastAsia="Arial" w:hAnsi="Arial"/>
          <w:b/>
          <w:bCs/>
          <w:color w:val="404040"/>
          <w:sz w:val="24"/>
          <w:szCs w:val="24"/>
        </w:rPr>
        <w:t xml:space="preserve">5.16.2 Tests cuantitativos principales</w:t>
      </w:r>
    </w:p>
    <w:p>
      <w:pPr>
        <w:spacing w:after="120" w:before="0"/>
      </w:pPr>
      <w:r>
        <w:rPr>
          <w:rFonts w:ascii="Arial" w:cs="Arial" w:eastAsia="Arial" w:hAnsi="Arial"/>
          <w:b/>
          <w:bCs/>
          <w:color w:val="404040"/>
          <w:sz w:val="22"/>
          <w:szCs w:val="22"/>
        </w:rPr>
        <w:t xml:space="preserve">T1.1 Disparidad CFH-BERT v2 (ISO/IEC TR 24027). </w:t>
      </w:r>
      <w:r>
        <w:rPr>
          <w:rFonts w:ascii="Arial" w:cs="Arial" w:eastAsia="Arial" w:hAnsi="Arial"/>
          <w:color w:val="404040"/>
          <w:sz w:val="22"/>
          <w:szCs w:val="22"/>
        </w:rPr>
        <w:t xml:space="preserve">El ratio F1 max/min entre clases es 2.41x (REP=0.77, NV=0.32), por debajo del umbral de alerta de 3.0x. El coeficiente de variación de F1 entre las 5 clases es 0.285, marginalmente dentro del umbral de homogeneidad (&lt; 0.30). NV es la clase más débil y requiere más anotaciones para alcanzar F1 ≥ 0.50.</w:t>
      </w:r>
    </w:p>
    <w:p>
      <w:pPr>
        <w:spacing w:after="120" w:before="0"/>
      </w:pPr>
      <w:r>
        <w:rPr>
          <w:rFonts w:ascii="Arial" w:cs="Arial" w:eastAsia="Arial" w:hAnsi="Arial"/>
          <w:b/>
          <w:bCs/>
          <w:color w:val="404040"/>
          <w:sz w:val="22"/>
          <w:szCs w:val="22"/>
        </w:rPr>
        <w:t xml:space="preserve">T1.2 Sesgo de detección facial (proxy Gender Shades). </w:t>
      </w:r>
      <w:r>
        <w:rPr>
          <w:rFonts w:ascii="Arial" w:cs="Arial" w:eastAsia="Arial" w:hAnsi="Arial"/>
          <w:color w:val="404040"/>
          <w:sz w:val="22"/>
          <w:szCs w:val="22"/>
        </w:rPr>
        <w:t xml:space="preserve">Las tasas de detección facial varían entre 40% (Dabeiba) y 93% (Huila), con un rango de 53 puntos porcentuales y diferencias estadísticamente significativas (χ²=820.6, p&lt;0.001). Este resultado supera el umbral de alerta moderada (20pp) y constituye la brecha de equidad más relevante del framework. La causa puede ser técnica (ángulo de cámara, iluminación) o de sesgo del modelo; sin auditoría intersectional formal no es posible distinguir entre ambas hipótesis.</w:t>
      </w:r>
    </w:p>
    <w:p>
      <w:pPr>
        <w:spacing w:after="120" w:before="0"/>
      </w:pPr>
      <w:r>
        <w:rPr>
          <w:rFonts w:ascii="Arial" w:cs="Arial" w:eastAsia="Arial" w:hAnsi="Arial"/>
          <w:b/>
          <w:bCs/>
          <w:color w:val="404040"/>
          <w:sz w:val="22"/>
          <w:szCs w:val="22"/>
        </w:rPr>
        <w:t xml:space="preserve">T2.1–T2.3 Robustez de pesos (Monte Carlo N=10.000). </w:t>
      </w:r>
      <w:r>
        <w:rPr>
          <w:rFonts w:ascii="Arial" w:cs="Arial" w:eastAsia="Arial" w:hAnsi="Arial"/>
          <w:color w:val="404040"/>
          <w:sz w:val="22"/>
          <w:szCs w:val="22"/>
        </w:rPr>
        <w:t xml:space="preserve">Los rankings de los tres índices (DIS, IEI, ICM tri-canal) son moderadamente estables ante perturbaciones de los pesos mediante distribución Dirichlet: 83.7% de simulaciones con τ ≥ 0.80 para DIS, 72.1% para IEI y 75.6% para ICM. La menor estabilidad del IEI refleja su mayor número de componentes (4 vs. 3 del DIS) y su sensibilidad al componente y₈ MAFAPO, que domina el hallazgo del caso paradigmático Catatumbo (DIS=0.110, IEI=0.624). La robustez aumentará con mayor n de subcasos.</w:t>
      </w:r>
    </w:p>
    <w:p>
      <w:pPr>
        <w:spacing w:after="120" w:before="0"/>
      </w:pPr>
      <w:r>
        <w:rPr>
          <w:rFonts w:ascii="Arial" w:cs="Arial" w:eastAsia="Arial" w:hAnsi="Arial"/>
          <w:b/>
          <w:bCs/>
          <w:color w:val="404040"/>
          <w:sz w:val="22"/>
          <w:szCs w:val="22"/>
        </w:rPr>
        <w:t xml:space="preserve">T2.4 Bootstrap CI para brecha semántica A vs B (B=5.000). </w:t>
      </w:r>
      <w:r>
        <w:rPr>
          <w:rFonts w:ascii="Arial" w:cs="Arial" w:eastAsia="Arial" w:hAnsi="Arial"/>
          <w:color w:val="404040"/>
          <w:sz w:val="22"/>
          <w:szCs w:val="22"/>
        </w:rPr>
        <w:t xml:space="preserve">El intervalo de confianza al 95% para la diferencia de medias Δy₈ MAFAPO (A−B) es [0.0192, 0.0208] y para Δy₉ CIDH (A−B) es [0.0180, 0.0199]. Ambos IC no cruzan cero, confirmando que la brecha semántica entre la justicia ordinaria y la JEP es estadísticamente robusta y no un artefacto muestral. Este resultado es independiente de los tests Mann-Whitney U reportados en §5.6 y los complementa.</w:t>
      </w:r>
    </w:p>
    <w:p>
      <w:pPr>
        <w:spacing w:after="160" w:before="0"/>
      </w:pPr>
      <w:r>
        <w:rPr>
          <w:rFonts w:ascii="Arial" w:cs="Arial" w:eastAsia="Arial" w:hAnsi="Arial"/>
          <w:b/>
          <w:bCs/>
          <w:color w:val="404040"/>
          <w:sz w:val="22"/>
          <w:szCs w:val="22"/>
        </w:rPr>
        <w:t xml:space="preserve">T2.5 Consistencia interna (Cronbach α). </w:t>
      </w:r>
      <w:r>
        <w:rPr>
          <w:rFonts w:ascii="Arial" w:cs="Arial" w:eastAsia="Arial" w:hAnsi="Arial"/>
          <w:color w:val="404040"/>
          <w:sz w:val="22"/>
          <w:szCs w:val="22"/>
        </w:rPr>
        <w:t xml:space="preserve">El α de Cronbach del DIS (3 indicadores) es 0.366 y el del IEI (4 indicadores) es −1.815. El α negativo del IEI no indica error de medición sino multidimensionalidad genuina: los componentes del IEI no forman una escala unidimensional porque capturan dimensiones analíticamente distintas (hermeneutical gap vía y₈/y₉ vs. credibility deficit vía y₄) que Fricker (2007) distingue conceptualmente. Esta multidimensionalidad es una propiedad esperada del índice, no un defecto, y apoya el hallazgo de disociación DIS-IEI documentado en §5.13.</w:t>
      </w:r>
    </w:p>
    <w:p>
      <w:pPr>
        <w:pStyle w:val="Heading3"/>
        <w:spacing w:after="120" w:before="240"/>
      </w:pPr>
      <w:r>
        <w:rPr>
          <w:rFonts w:ascii="Arial" w:cs="Arial" w:eastAsia="Arial" w:hAnsi="Arial"/>
          <w:b/>
          <w:bCs/>
          <w:color w:val="404040"/>
          <w:sz w:val="24"/>
          <w:szCs w:val="24"/>
        </w:rPr>
        <w:t xml:space="preserve">5.16.3 Registro de riesgos</w:t>
      </w:r>
    </w:p>
    <w:p>
      <w:pPr>
        <w:spacing w:after="240" w:before="0"/>
      </w:pPr>
      <w:r>
        <w:rPr>
          <w:rFonts w:ascii="Arial" w:cs="Arial" w:eastAsia="Arial" w:hAnsi="Arial"/>
          <w:color w:val="404040"/>
          <w:sz w:val="22"/>
          <w:szCs w:val="22"/>
        </w:rPr>
        <w:t xml:space="preserve">La auditoría identificó 10 riesgos mediante el protocolo NIST AI RMF / ISO 23894, de los cuales 5 tienen score alto (P×I ≥ 12). Los dos riesgos de mayor score son: R01 sesgo racial MediaPipe (P×I=20, mitigado parcialmente) y R02 uso indebido del ICM para juzgar sinceridad individual (P×I=15, mitigado mediante salvaguardas epistemológicas en §3.7 y §5.9). El registro completo está disponible en `governance/cfh_audit_results.json` del repositorio.</w:t>
      </w:r>
    </w:p>
    <w:p>
      <w:r>
        <w:rPr>
          <w:rFonts w:ascii="Arial" w:cs="Arial" w:eastAsia="Arial" w:hAnsi="Arial"/>
          <w:color w:val="404040"/>
          <w:sz w:val="22"/>
          <w:szCs w:val="22"/>
        </w:rPr>
        <w:t xml:space="preserve"/>
      </w:r>
    </w:p>
    <w:p>
      <w:r>
        <w:rPr>
          <w:rFonts w:ascii="Arial" w:cs="Arial" w:eastAsia="Arial" w:hAnsi="Arial"/>
          <w:color w:val="404040"/>
          <w:sz w:val="22"/>
          <w:szCs w:val="22"/>
        </w:rPr>
        <w:t xml:space="preserve"/>
      </w:r>
    </w:p>
    <w:p>
      <w:r>
        <w:br w:type="page"/>
      </w:r>
    </w:p>
    <w:p>
      <w:pPr>
        <w:pStyle w:val="Heading1"/>
        <w:spacing w:after="240" w:before="480"/>
      </w:pPr>
      <w:r>
        <w:rPr>
          <w:rFonts w:ascii="Arial" w:cs="Arial" w:eastAsia="Arial" w:hAnsi="Arial"/>
          <w:b/>
          <w:bCs/>
          <w:color w:val="1B3A6B"/>
          <w:sz w:val="32"/>
          <w:szCs w:val="32"/>
        </w:rPr>
        <w:t xml:space="preserve">ACTUALIZACIONES — CAPÍTULO 6</w:t>
      </w:r>
    </w:p>
    <w:p>
      <w:pPr>
        <w:pBdr>
          <w:left w:val="single" w:color="B8860B" w:sz="12"/>
        </w:pBdr>
        <w:shd w:fill="FFF3CC" w:val="clear"/>
        <w:spacing w:after="120" w:before="120"/>
        <w:ind w:left="360"/>
      </w:pPr>
      <w:r>
        <w:rPr>
          <w:rFonts w:ascii="Arial" w:cs="Arial" w:eastAsia="Arial" w:hAnsi="Arial"/>
          <w:color w:val="404040"/>
          <w:sz w:val="20"/>
          <w:szCs w:val="20"/>
        </w:rPr>
        <w:t xml:space="preserve">📌 </w:t>
      </w:r>
      <w:r>
        <w:rPr>
          <w:rFonts w:ascii="Arial" w:cs="Arial" w:eastAsia="Arial" w:hAnsi="Arial"/>
          <w:i/>
          <w:iCs/>
          <w:color w:val="5C4000"/>
          <w:sz w:val="20"/>
          <w:szCs w:val="20"/>
        </w:rPr>
        <w:t xml:space="preserve">SECCIÓN A: Añadir al final de §6.3 "Limitaciones de la investigación", como nuevo subapartado §6.3.5.</w:t>
      </w:r>
    </w:p>
    <w:p>
      <w:r>
        <w:rPr>
          <w:rFonts w:ascii="Arial" w:cs="Arial" w:eastAsia="Arial" w:hAnsi="Arial"/>
          <w:color w:val="404040"/>
          <w:sz w:val="22"/>
          <w:szCs w:val="22"/>
        </w:rPr>
        <w:t xml:space="preserve"/>
      </w:r>
    </w:p>
    <w:p>
      <w:pPr>
        <w:pStyle w:val="Heading3"/>
        <w:spacing w:after="120" w:before="240"/>
      </w:pPr>
      <w:r>
        <w:rPr>
          <w:rFonts w:ascii="Arial" w:cs="Arial" w:eastAsia="Arial" w:hAnsi="Arial"/>
          <w:b/>
          <w:bCs/>
          <w:color w:val="404040"/>
          <w:sz w:val="24"/>
          <w:szCs w:val="24"/>
        </w:rPr>
        <w:t xml:space="preserve">6.3.5 Limitaciones de gobernanza y cumplimiento normativo</w:t>
      </w:r>
    </w:p>
    <w:p>
      <w:pPr>
        <w:spacing w:after="160" w:before="0"/>
      </w:pPr>
      <w:r>
        <w:rPr>
          <w:rFonts w:ascii="Arial" w:cs="Arial" w:eastAsia="Arial" w:hAnsi="Arial"/>
          <w:color w:val="404040"/>
          <w:sz w:val="22"/>
          <w:szCs w:val="22"/>
        </w:rPr>
        <w:t xml:space="preserve">La CFH Governance Audit Suite v1.0 (mayo 2026) identificó formalmente dos brechas de gobernanza que afectan la interpretación de los resultados. La primera es la ausencia de auditoría intersectional del módulo facial (protocolo Gender Shades, Buolamwini &amp; Gebru, 2018): las tasas de detección de MediaPipe FaceLandmarker varían entre 40% y 93% entre subcasos (χ²=820.6, p&lt;0.001) y no es posible determinar sin auditoría formal qué proporción de esta varianza se debe a condiciones técnicas de grabación y qué proporción a sesgo demográfico del modelo. Esto limita la comparabilidad del ICM facial entre subcasos y obliga a que los resultados de la Capa 3 se interpreten siempre desagregados, nunca como ranking absoluto entre comparecientes. La segunda brecha es la ausencia de aval formal del Comité de Ética de Investigación de la Universidad Externado de Colombia para el procesamiento de datos biométricos del Corpus C. Aunque las audiencias son públicas y la base legal es la función jurisdiccional de la JEP, el procesamiento computacional a escala constituye un uso derivado que requiere aval ético institucional independientemente del carácter público de las audiencias fuente. Ambas brechas están en proceso de resolución antes de la defensa de agosto 2026 y antes de cualquier publicación de los resultados de la Capa 3.</w:t>
      </w:r>
    </w:p>
    <w:p>
      <w:pPr>
        <w:spacing w:after="240" w:before="0"/>
      </w:pPr>
      <w:r>
        <w:rPr>
          <w:rFonts w:ascii="Arial" w:cs="Arial" w:eastAsia="Arial" w:hAnsi="Arial"/>
          <w:color w:val="404040"/>
          <w:sz w:val="22"/>
          <w:szCs w:val="22"/>
        </w:rPr>
        <w:t xml:space="preserve">La auditoría confirmó que los indicadores textuales (Capas 1 y 2) no presentan las mismas limitaciones de gobernanza: operan sobre documentos públicos institucionales sin datos biométricos y con base legal clara, y los tests de robustez (Monte Carlo, bootstrap) confirman la estabilidad de las conclusiones principales ante perturbaciones de parámetros. El score global de gobernanza del framework (0.67/1.00, nivel Condicional) refleja la concentración de brechas en el módulo multimodal y no en el análisis textual, que es el componente central de la contribución empírica.</w:t>
      </w:r>
    </w:p>
    <w:p>
      <w:r>
        <w:rPr>
          <w:rFonts w:ascii="Arial" w:cs="Arial" w:eastAsia="Arial" w:hAnsi="Arial"/>
          <w:color w:val="404040"/>
          <w:sz w:val="22"/>
          <w:szCs w:val="22"/>
        </w:rPr>
        <w:t xml:space="preserve"/>
      </w:r>
    </w:p>
    <w:p>
      <w:pPr>
        <w:pBdr>
          <w:bottom w:val="single" w:color="2E75B6" w:sz="6" w:space="1"/>
        </w:pBdr>
        <w:spacing w:after="240" w:before="240"/>
      </w:pPr>
      <w:r>
        <w:rPr>
          <w:rFonts w:ascii="Arial" w:cs="Arial" w:eastAsia="Arial" w:hAnsi="Arial"/>
          <w:color w:val="404040"/>
          <w:sz w:val="22"/>
          <w:szCs w:val="22"/>
        </w:rPr>
        <w:t xml:space="preserve"/>
      </w:r>
    </w:p>
    <w:p>
      <w:pPr>
        <w:pBdr>
          <w:left w:val="single" w:color="B8860B" w:sz="12"/>
        </w:pBdr>
        <w:shd w:fill="FFF3CC" w:val="clear"/>
        <w:spacing w:after="120" w:before="120"/>
        <w:ind w:left="360"/>
      </w:pPr>
      <w:r>
        <w:rPr>
          <w:rFonts w:ascii="Arial" w:cs="Arial" w:eastAsia="Arial" w:hAnsi="Arial"/>
          <w:color w:val="404040"/>
          <w:sz w:val="20"/>
          <w:szCs w:val="20"/>
        </w:rPr>
        <w:t xml:space="preserve">📌 </w:t>
      </w:r>
      <w:r>
        <w:rPr>
          <w:rFonts w:ascii="Arial" w:cs="Arial" w:eastAsia="Arial" w:hAnsi="Arial"/>
          <w:i/>
          <w:iCs/>
          <w:color w:val="5C4000"/>
          <w:sz w:val="20"/>
          <w:szCs w:val="20"/>
        </w:rPr>
        <w:t xml:space="preserve">SECCIÓN B: Reemplazar el primer párrafo de §6.4 "Líneas de trabajo futuro — Corto plazo" por el siguiente texto actualizado.</w:t>
      </w:r>
    </w:p>
    <w:p>
      <w:r>
        <w:rPr>
          <w:rFonts w:ascii="Arial" w:cs="Arial" w:eastAsia="Arial" w:hAnsi="Arial"/>
          <w:color w:val="404040"/>
          <w:sz w:val="22"/>
          <w:szCs w:val="22"/>
        </w:rPr>
        <w:t xml:space="preserve"/>
      </w:r>
    </w:p>
    <w:p>
      <w:pPr>
        <w:pStyle w:val="Heading3"/>
        <w:spacing w:after="120" w:before="240"/>
      </w:pPr>
      <w:r>
        <w:rPr>
          <w:rFonts w:ascii="Arial" w:cs="Arial" w:eastAsia="Arial" w:hAnsi="Arial"/>
          <w:b/>
          <w:bCs/>
          <w:color w:val="404040"/>
          <w:sz w:val="24"/>
          <w:szCs w:val="24"/>
        </w:rPr>
        <w:t xml:space="preserve">6.4 Líneas de trabajo futuro (actualizado)</w:t>
      </w:r>
    </w:p>
    <w:p>
      <w:pPr>
        <w:pStyle w:val="Heading3"/>
        <w:spacing w:after="120" w:before="240"/>
      </w:pPr>
      <w:r>
        <w:rPr>
          <w:rFonts w:ascii="Arial" w:cs="Arial" w:eastAsia="Arial" w:hAnsi="Arial"/>
          <w:b/>
          <w:bCs/>
          <w:color w:val="404040"/>
          <w:sz w:val="24"/>
          <w:szCs w:val="24"/>
        </w:rPr>
        <w:t xml:space="preserve">Corto plazo (antes de agosto 2026)</w:t>
      </w:r>
    </w:p>
    <w:p>
      <w:pPr>
        <w:spacing w:after="240" w:before="0"/>
      </w:pPr>
      <w:r>
        <w:rPr>
          <w:rFonts w:ascii="Arial" w:cs="Arial" w:eastAsia="Arial" w:hAnsi="Arial"/>
          <w:color w:val="404040"/>
          <w:sz w:val="22"/>
          <w:szCs w:val="22"/>
        </w:rPr>
        <w:t xml:space="preserve">Las acciones de corto plazo se organizan en dos categorías: técnicas y de gobernanza. En el plano técnico, las prioridades son completar la anotación con segundo anotador (IAA κ &gt; 0.80 sobre 500 fragmentos) para habilitar CFH-BERT v3 y el SEM completo, y resolver el video del subcaso Costa Caribe (DRM YouTube) para completar el Corpus C 5/5 en Capa 3. En el plano de gobernanza, identificado formalmente por la Governance Audit Suite v1.0, las tres acciones prioritarias son: (1) tramitar el aval del Comité de Ética de Investigación del Externado para el procesamiento biométrico del Corpus C; (2) ejecutar la auditoría intersectional de MediaPipe conforme al protocolo Gender Shades (Buolamwini &amp; Gebru, 2018) sobre una muestra representativa de los rostros del corpus; y (3) elaborar la Evaluación de Impacto de Protección de Datos (DPIA) formal conforme a la Ley 1581 de 2012. Completadas estas acciones, el score proyectado de gobernanza del framework sube de 0.67 a aproximadamente 0.78 (nivel Aprobado). La validación perceptual del ICM frente a jueces humanos (Baird &amp; Coutinho, 2019) y la publicación del Model Card de CFH-BERT v2 en el repositorio GitHub son acciones de prioridad media antes de agosto 2026.</w:t>
      </w:r>
    </w:p>
    <w:p>
      <w:r>
        <w:rPr>
          <w:rFonts w:ascii="Arial" w:cs="Arial" w:eastAsia="Arial" w:hAnsi="Arial"/>
          <w:color w:val="404040"/>
          <w:sz w:val="22"/>
          <w:szCs w:val="22"/>
        </w:rPr>
        <w:t xml:space="preserve"/>
      </w:r>
    </w:p>
    <w:p>
      <w:r>
        <w:rPr>
          <w:rFonts w:ascii="Arial" w:cs="Arial" w:eastAsia="Arial" w:hAnsi="Arial"/>
          <w:color w:val="404040"/>
          <w:sz w:val="22"/>
          <w:szCs w:val="22"/>
        </w:rPr>
        <w:t xml:space="preserve"/>
      </w:r>
    </w:p>
    <w:p>
      <w:r>
        <w:br w:type="page"/>
      </w:r>
    </w:p>
    <w:p>
      <w:pPr>
        <w:pStyle w:val="Heading1"/>
        <w:spacing w:after="240" w:before="480"/>
      </w:pPr>
      <w:r>
        <w:rPr>
          <w:rFonts w:ascii="Arial" w:cs="Arial" w:eastAsia="Arial" w:hAnsi="Arial"/>
          <w:b/>
          <w:bCs/>
          <w:color w:val="1B3A6B"/>
          <w:sz w:val="32"/>
          <w:szCs w:val="32"/>
        </w:rPr>
        <w:t xml:space="preserve">INSTRUCCIONES DE INSERCIÓN</w:t>
      </w:r>
    </w:p>
    <w:p>
      <w:pPr>
        <w:pBdr>
          <w:left w:val="single" w:color="B8860B" w:sz="12"/>
        </w:pBdr>
        <w:shd w:fill="FFF3CC" w:val="clear"/>
        <w:spacing w:after="120" w:before="120"/>
        <w:ind w:left="360"/>
      </w:pPr>
      <w:r>
        <w:rPr>
          <w:rFonts w:ascii="Arial" w:cs="Arial" w:eastAsia="Arial" w:hAnsi="Arial"/>
          <w:color w:val="404040"/>
          <w:sz w:val="20"/>
          <w:szCs w:val="20"/>
        </w:rPr>
        <w:t xml:space="preserve">📌 </w:t>
      </w:r>
      <w:r>
        <w:rPr>
          <w:rFonts w:ascii="Arial" w:cs="Arial" w:eastAsia="Arial" w:hAnsi="Arial"/>
          <w:i/>
          <w:iCs/>
          <w:color w:val="5C4000"/>
          <w:sz w:val="20"/>
          <w:szCs w:val="20"/>
        </w:rPr>
        <w:t xml:space="preserve">Cómo usar este documento en tus capítulos:</w:t>
      </w:r>
    </w:p>
    <w:p>
      <w:r>
        <w:rPr>
          <w:rFonts w:ascii="Arial" w:cs="Arial" w:eastAsia="Arial" w:hAnsi="Arial"/>
          <w:color w:val="40404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120"/>
        <w:gridCol w:w="5304"/>
      </w:tblGrid>
      <w:tr>
        <w:tc>
          <w:tcPr>
            <w:tcW w:type="dxa" w:w="93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Archivo a modificar</w:t>
            </w:r>
          </w:p>
        </w:tc>
        <w:tc>
          <w:tcPr>
            <w:tcW w:type="dxa" w:w="5304"/>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CFH_Tesis_Capitulo3_MarcoTeorico_V4.docx</w:t>
            </w:r>
          </w:p>
        </w:tc>
        <w:tc>
          <w:tcPr>
            <w:tcW w:type="dxa" w:w="5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Al final del documento, después de §3.9, pegar la sección "ADICIÓN — CAPÍTULO 3" de este documento.</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CFH_Tesis_Capitulo5_Resultados_15.docx</w:t>
            </w:r>
          </w:p>
        </w:tc>
        <w:tc>
          <w:tcPr>
            <w:tcW w:type="dxa" w:w="5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Al final del documento, después de §5.15, pegar la sección "ADICIÓN — CAPÍTULO 5" de este documento.</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3a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CFH_Tesis_Capitulo6_Discusion_v9.docx</w:t>
            </w:r>
          </w:p>
        </w:tc>
        <w:tc>
          <w:tcPr>
            <w:tcW w:type="dxa" w:w="5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Al final de §6.3 (Limitaciones), insertar §6.3.5 de la "SECCIÓN A" de este documento.</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04040"/>
                <w:sz w:val="20"/>
                <w:szCs w:val="20"/>
              </w:rPr>
              <w:t xml:space="preserve">3b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CFH_Tesis_Capitulo6_Discusion_v9.docx</w:t>
            </w:r>
          </w:p>
        </w:tc>
        <w:tc>
          <w:tcPr>
            <w:tcW w:type="dxa" w:w="5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04040"/>
                <w:sz w:val="20"/>
                <w:szCs w:val="20"/>
              </w:rPr>
              <w:t xml:space="preserve">Reemplazar el primer párrafo de §6.4 con el texto de "SECCIÓN B" de este documento.</w:t>
            </w:r>
          </w:p>
        </w:tc>
      </w:tr>
    </w:tbl>
    <w:p>
      <w:r>
        <w:rPr>
          <w:rFonts w:ascii="Arial" w:cs="Arial" w:eastAsia="Arial" w:hAnsi="Arial"/>
          <w:color w:val="404040"/>
          <w:sz w:val="22"/>
          <w:szCs w:val="22"/>
        </w:rPr>
        <w:t xml:space="preserve"/>
      </w:r>
    </w:p>
    <w:p>
      <w:r>
        <w:rPr>
          <w:rFonts w:ascii="Arial" w:cs="Arial" w:eastAsia="Arial" w:hAnsi="Arial"/>
          <w:b/>
          <w:bCs/>
          <w:color w:val="404040"/>
          <w:sz w:val="22"/>
          <w:szCs w:val="22"/>
        </w:rPr>
        <w:t xml:space="preserve">Versionado: </w:t>
      </w:r>
      <w:r>
        <w:rPr>
          <w:rFonts w:ascii="Arial" w:cs="Arial" w:eastAsia="Arial" w:hAnsi="Arial"/>
          <w:color w:val="404040"/>
          <w:sz w:val="22"/>
          <w:szCs w:val="22"/>
        </w:rPr>
        <w:t xml:space="preserve">Después de insertar, guardar como: Cap3_V5.docx, Cap5_v16.docx, Cap6_v10.docx y hacer commit al repositorio.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2026-05-12T18:49:23.780Z</dcterms:created>
  <dcterms:modified xsi:type="dcterms:W3CDTF">2026-05-12T18:49:23.797Z</dcterms:modified>
</cp:coreProperties>
</file>

<file path=docProps/custom.xml><?xml version="1.0" encoding="utf-8"?>
<Properties xmlns="http://schemas.openxmlformats.org/officeDocument/2006/custom-properties" xmlns:vt="http://schemas.openxmlformats.org/officeDocument/2006/docPropsVTypes"/>
</file>