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BC8CF" w14:textId="77777777" w:rsidR="00A23B22" w:rsidRDefault="00000000">
      <w:pPr>
        <w:pStyle w:val="Ttulo1"/>
      </w:pPr>
      <w:r>
        <w:t>2. Estado del arte</w:t>
      </w:r>
    </w:p>
    <w:p w14:paraId="72539D5D" w14:textId="77777777" w:rsidR="00A23B22" w:rsidRDefault="00000000">
      <w:pPr>
        <w:spacing w:after="200" w:line="360" w:lineRule="auto"/>
        <w:ind w:firstLine="720"/>
        <w:jc w:val="both"/>
      </w:pPr>
      <w:r>
        <w:rPr>
          <w:color w:val="000000"/>
        </w:rPr>
        <w:t>Este capítulo revisa la literatura existente en cuatro áreas que constituyen los antecedentes directos de la Hermenéutica Forense Computacional (CFH): el fenómeno de los falsos positivos y su documentación académica e institucional; las aplicaciones de NLP al análisis de textos judiciales; la intersección entre justicia transicional y análisis crítico del discurso; y los modelos de ecuaciones estructurales en ciencias sociales computacionales. La revisión identifica los avances relevantes para esta investigación y, crucialmente, la brecha que la CFH busca llenar: la ausencia de un método cuantitativo, computacionalmente escalable y teóricamente fundamentado para medir la injusticia discursiva en archivos judiciales de justicia transicional.</w:t>
      </w:r>
    </w:p>
    <w:p w14:paraId="0CC8F5C5" w14:textId="77777777" w:rsidR="00A23B22" w:rsidRDefault="00A23B22">
      <w:pPr>
        <w:spacing w:after="120"/>
      </w:pPr>
    </w:p>
    <w:p w14:paraId="14893925" w14:textId="77777777" w:rsidR="00A23B22" w:rsidRDefault="00000000">
      <w:pPr>
        <w:pStyle w:val="Ttulo2"/>
      </w:pPr>
      <w:r>
        <w:t>2.1 El fenómeno de los falsos positivos: documentación académica e institucional</w:t>
      </w:r>
    </w:p>
    <w:p w14:paraId="6F620B38" w14:textId="77777777" w:rsidR="00A23B22" w:rsidRDefault="00000000">
      <w:pPr>
        <w:pStyle w:val="Ttulo3"/>
      </w:pPr>
      <w:r>
        <w:t>2.1.1 Caracterización y contexto histórico</w:t>
      </w:r>
    </w:p>
    <w:p w14:paraId="1F5547D3" w14:textId="77777777" w:rsidR="00A23B22" w:rsidRDefault="00000000">
      <w:pPr>
        <w:spacing w:after="200" w:line="360" w:lineRule="auto"/>
        <w:ind w:firstLine="720"/>
        <w:jc w:val="both"/>
      </w:pPr>
      <w:r>
        <w:rPr>
          <w:color w:val="000000"/>
        </w:rPr>
        <w:t>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14:paraId="25B13375" w14:textId="77777777" w:rsidR="00A23B22" w:rsidRDefault="00000000">
      <w:pPr>
        <w:spacing w:after="200" w:line="360" w:lineRule="auto"/>
        <w:ind w:firstLine="720"/>
        <w:jc w:val="both"/>
      </w:pPr>
      <w:r>
        <w:rPr>
          <w:color w:val="000000"/>
        </w:rPr>
        <w:t xml:space="preserve">La magnitud del fenómeno ha sido objeto de estimaciones crecientes a medida que avanza la investigación judicial. La JEP determinó que al menos 6.402 </w:t>
      </w:r>
      <w:r>
        <w:rPr>
          <w:color w:val="000000"/>
        </w:rPr>
        <w:lastRenderedPageBreak/>
        <w:t>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en todas sus modalidades. La diferencia entre estimaciones refleja los distintos períodos y criterios de clasificación, pero todas coinciden en que el fenómeno fue masivo, sistemático y concentrado geográficamente.</w:t>
      </w:r>
    </w:p>
    <w:p w14:paraId="1A0FE620" w14:textId="77777777" w:rsidR="00A23B22" w:rsidRDefault="00000000">
      <w:pPr>
        <w:spacing w:after="200" w:line="360" w:lineRule="auto"/>
        <w:ind w:firstLine="720"/>
        <w:jc w:val="both"/>
      </w:pPr>
      <w:r>
        <w:rPr>
          <w:color w:val="000000"/>
        </w:rPr>
        <w:t>La JEP priorizó seis regiones para su investigación: Antioquia (29,4% de los casos), la Costa Caribe (Norte del Cesar y Sur de La Guajira), Norte de Santander (Catatumbo), Meta, Casanare y Huila (JEP, 2021). La concentración regional no fue aleatoria: respondió al liderazgo militar local y a las dinámicas específicas de la presión por resultados en cada brigada y batallón.</w:t>
      </w:r>
    </w:p>
    <w:p w14:paraId="6EFC0C33" w14:textId="77777777" w:rsidR="00A23B22" w:rsidRDefault="00000000">
      <w:pPr>
        <w:pStyle w:val="Ttulo3"/>
      </w:pPr>
      <w:r>
        <w:t>2.1.2 El sistema de incentivos y la ingeniería burocrática del lenguaje</w:t>
      </w:r>
    </w:p>
    <w:p w14:paraId="566CF1AB" w14:textId="77777777" w:rsidR="00A23B22" w:rsidRDefault="00000000">
      <w:pPr>
        <w:spacing w:after="200" w:line="360" w:lineRule="auto"/>
        <w:ind w:firstLine="720"/>
        <w:jc w:val="both"/>
      </w:pPr>
      <w:r>
        <w:rPr>
          <w:color w:val="000000"/>
        </w:rPr>
        <w:t>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 La presión jerárquica para «incrementar permanentemente los resultados» corrompió fundamentalmente la misión militar (OACNUDH, 2010).</w:t>
      </w:r>
    </w:p>
    <w:p w14:paraId="2C8011C0" w14:textId="77777777" w:rsidR="00A23B22" w:rsidRDefault="00000000">
      <w:pPr>
        <w:spacing w:after="200" w:line="360" w:lineRule="auto"/>
        <w:ind w:firstLine="720"/>
        <w:jc w:val="both"/>
      </w:pPr>
      <w:r>
        <w:rPr>
          <w:color w:val="000000"/>
        </w:rPr>
        <w:t xml:space="preserve">Una contribución central del trabajo académico sobre los falsos positivos —especialmente del proyecto de investigación de Camacho (2025), antecedente directo de esta tesis—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w:t>
      </w:r>
      <w:r>
        <w:rPr>
          <w:color w:val="000000"/>
        </w:rPr>
        <w:lastRenderedPageBreak/>
        <w:t>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14:paraId="4835CA6A" w14:textId="77777777" w:rsidR="00A23B22" w:rsidRDefault="00000000">
      <w:pPr>
        <w:spacing w:after="200" w:line="360" w:lineRule="auto"/>
        <w:ind w:firstLine="720"/>
        <w:jc w:val="both"/>
      </w:pPr>
      <w:r>
        <w:rPr>
          <w:color w:val="000000"/>
        </w:rPr>
        <w:t>Este proceso ha sido caracterizado por Cepeda y Rojas (2008) como parte de una estrategia deliberada de encubrimiento que comprometía no solo a los perpetradores directos sino a las cadenas de mando que validaban, firmaban y archivaban los informes. La JEP ha confirmado esta lectura al imputar a altos mandos militares, incluyendo generales, por crímenes de guerra y de lesa humanidad como máximos responsables (JEP, 2021; 2022).</w:t>
      </w:r>
    </w:p>
    <w:p w14:paraId="52A33247" w14:textId="77777777" w:rsidR="00A23B22" w:rsidRDefault="00000000">
      <w:pPr>
        <w:pStyle w:val="Ttulo3"/>
      </w:pPr>
      <w:r>
        <w:t>2.1.3 El papel de las organizaciones de víctimas y la sociedad civil</w:t>
      </w:r>
    </w:p>
    <w:p w14:paraId="59CCAB9A" w14:textId="77777777" w:rsidR="00A23B22" w:rsidRDefault="00000000">
      <w:pPr>
        <w:spacing w:after="200" w:line="360" w:lineRule="auto"/>
        <w:ind w:firstLine="720"/>
        <w:jc w:val="both"/>
      </w:pPr>
      <w:r>
        <w:rPr>
          <w:color w:val="000000"/>
        </w:rPr>
        <w:t>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Su labor fue instrumental para que el caso de los «falsos positivos de Soacha» —jóvenes reclutados con falsas promesas de trabajo y asesinados en Ocaña, Norte de Santander— se convirtiera en el punto de quiebre que desencadenó investigaciones formales y la eventual destitución de generales.</w:t>
      </w:r>
    </w:p>
    <w:p w14:paraId="1BE01CAC" w14:textId="77777777" w:rsidR="00A23B22" w:rsidRDefault="00000000">
      <w:pPr>
        <w:spacing w:after="200" w:line="360" w:lineRule="auto"/>
        <w:ind w:firstLine="720"/>
        <w:jc w:val="both"/>
      </w:pPr>
      <w:r>
        <w:rPr>
          <w:color w:val="000000"/>
        </w:rPr>
        <w:t xml:space="preserve">El CINEP/Programa por la Paz documentó sistemáticamente los casos a través de su Banco de Datos de Derechos Humanos y Violencia Política y el informe «Noche y Niebla» (CINEP, 2020). El Centro Nacional de Memoria Histórica (CNMH) trabajó con las familias para dignificar la memoria de las víctimas mediante la recolección de objetos personales y la producción de relatos que restituían la identidad de quienes habían sido deshumanizados en el lenguaje </w:t>
      </w:r>
      <w:r>
        <w:rPr>
          <w:color w:val="000000"/>
        </w:rPr>
        <w:lastRenderedPageBreak/>
        <w:t xml:space="preserve">castrense. Este trabajo de la sociedad civil —que esta tesis conceptualiza como un acto de </w:t>
      </w:r>
      <w:proofErr w:type="spellStart"/>
      <w:r>
        <w:rPr>
          <w:color w:val="000000"/>
        </w:rPr>
        <w:t>contra-narración</w:t>
      </w:r>
      <w:proofErr w:type="spellEnd"/>
      <w:r>
        <w:rPr>
          <w:color w:val="000000"/>
        </w:rPr>
        <w:t xml:space="preserve"> discursiva— es precisamente el que construye los centroides semánticos de referencia (MAFAPO, CIDH) que el modelo CFH utiliza para medir la distancia entre el lenguaje judicial y la verdad de las víctimas.</w:t>
      </w:r>
    </w:p>
    <w:p w14:paraId="7FB8B145" w14:textId="77777777" w:rsidR="00A23B22" w:rsidRDefault="00A23B22">
      <w:pPr>
        <w:spacing w:after="120"/>
      </w:pPr>
    </w:p>
    <w:p w14:paraId="6B75AC82" w14:textId="77777777" w:rsidR="00A23B22" w:rsidRDefault="00000000">
      <w:pPr>
        <w:pStyle w:val="Ttulo2"/>
      </w:pPr>
      <w:r>
        <w:t>2.2 NLP aplicado a textos judiciales</w:t>
      </w:r>
    </w:p>
    <w:p w14:paraId="1C67EE97" w14:textId="77777777" w:rsidR="00A23B22" w:rsidRDefault="00000000">
      <w:pPr>
        <w:pStyle w:val="Ttulo3"/>
      </w:pPr>
      <w:r>
        <w:t>2.2.1 El campo del NLP jurídico</w:t>
      </w:r>
    </w:p>
    <w:p w14:paraId="5A38D7F8" w14:textId="77777777" w:rsidR="00A23B22" w:rsidRDefault="00000000">
      <w:pPr>
        <w:spacing w:after="200" w:line="360" w:lineRule="auto"/>
        <w:ind w:firstLine="720"/>
        <w:jc w:val="both"/>
      </w:pPr>
      <w:r>
        <w:rPr>
          <w:color w:val="000000"/>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w:t>
      </w:r>
      <w:proofErr w:type="spellStart"/>
      <w:r>
        <w:rPr>
          <w:color w:val="000000"/>
        </w:rPr>
        <w:t>preentrenados</w:t>
      </w:r>
      <w:proofErr w:type="spellEnd"/>
      <w:r>
        <w:rPr>
          <w:color w:val="000000"/>
        </w:rPr>
        <w:t xml:space="preserve"> de alta capacidad (</w:t>
      </w:r>
      <w:proofErr w:type="spellStart"/>
      <w:r>
        <w:rPr>
          <w:color w:val="000000"/>
        </w:rPr>
        <w:t>Chalkidis</w:t>
      </w:r>
      <w:proofErr w:type="spellEnd"/>
      <w:r>
        <w:rPr>
          <w:color w:val="000000"/>
        </w:rPr>
        <w:t xml:space="preserve"> et al., 2023). Las tareas abordadas por el Legal NLP incluyen la clasificación de sentencias por área del derecho, la extracción de entidades legales (partes, fechas, normas citadas), la predicción del resultado de casos a partir del texto de los argumentos, el resumen automático de decisiones judiciales, y la detección de inconsistencias argumentativas (</w:t>
      </w:r>
      <w:proofErr w:type="spellStart"/>
      <w:r>
        <w:rPr>
          <w:color w:val="000000"/>
        </w:rPr>
        <w:t>Zhong</w:t>
      </w:r>
      <w:proofErr w:type="spellEnd"/>
      <w:r>
        <w:rPr>
          <w:color w:val="000000"/>
        </w:rPr>
        <w:t xml:space="preserve"> et al., 2020).</w:t>
      </w:r>
    </w:p>
    <w:p w14:paraId="51C21903" w14:textId="77777777" w:rsidR="00A23B22" w:rsidRDefault="00000000">
      <w:pPr>
        <w:spacing w:after="200" w:line="360" w:lineRule="auto"/>
        <w:ind w:firstLine="720"/>
        <w:jc w:val="both"/>
      </w:pPr>
      <w:r>
        <w:rPr>
          <w:color w:val="000000"/>
        </w:rPr>
        <w:t xml:space="preserve">El </w:t>
      </w:r>
      <w:proofErr w:type="spellStart"/>
      <w:r>
        <w:rPr>
          <w:color w:val="000000"/>
        </w:rPr>
        <w:t>benchmark</w:t>
      </w:r>
      <w:proofErr w:type="spellEnd"/>
      <w:r>
        <w:rPr>
          <w:color w:val="000000"/>
        </w:rPr>
        <w:t xml:space="preserve"> </w:t>
      </w:r>
      <w:proofErr w:type="spellStart"/>
      <w:r>
        <w:rPr>
          <w:color w:val="000000"/>
        </w:rPr>
        <w:t>LexGLUE</w:t>
      </w:r>
      <w:proofErr w:type="spellEnd"/>
      <w:r>
        <w:rPr>
          <w:color w:val="000000"/>
        </w:rPr>
        <w:t xml:space="preserve"> (</w:t>
      </w:r>
      <w:proofErr w:type="spellStart"/>
      <w:r>
        <w:rPr>
          <w:color w:val="000000"/>
        </w:rPr>
        <w:t>Chalkidis</w:t>
      </w:r>
      <w:proofErr w:type="spellEnd"/>
      <w:r>
        <w:rPr>
          <w:color w:val="000000"/>
        </w:rPr>
        <w:t xml:space="preserve"> et al., 2022) sistematizó las tareas estándar del Legal NLP para el inglés, y trabajos posteriores han extendido estas evaluaciones al español, el francés y otras lenguas (</w:t>
      </w:r>
      <w:proofErr w:type="spellStart"/>
      <w:r>
        <w:rPr>
          <w:color w:val="000000"/>
        </w:rPr>
        <w:t>Niklaus</w:t>
      </w:r>
      <w:proofErr w:type="spellEnd"/>
      <w:r>
        <w:rPr>
          <w:color w:val="000000"/>
        </w:rPr>
        <w:t xml:space="preserve"> et al., 2022). Sin embargo, la investigación en Legal NLP para el español latinoamericano sigue siendo escasa, y los corpus disponibles se concentran en legislación y jurisprudencia de España, con representación limitada de los sistemas judiciales de América Latina (Camacho, 2025).</w:t>
      </w:r>
    </w:p>
    <w:p w14:paraId="1E4672B7" w14:textId="77777777" w:rsidR="00A23B22" w:rsidRDefault="00000000">
      <w:pPr>
        <w:pStyle w:val="Ttulo3"/>
      </w:pPr>
      <w:r>
        <w:t>2.2.2 Modelos de lenguaje especializados en conflicto</w:t>
      </w:r>
    </w:p>
    <w:p w14:paraId="0FAB9C2B" w14:textId="77777777" w:rsidR="00A23B22" w:rsidRDefault="00000000">
      <w:pPr>
        <w:spacing w:after="200" w:line="360" w:lineRule="auto"/>
        <w:ind w:firstLine="720"/>
        <w:jc w:val="both"/>
      </w:pPr>
      <w:r>
        <w:rPr>
          <w:color w:val="000000"/>
        </w:rPr>
        <w:t xml:space="preserve">Un avance particularmente relevante para esta investigación es el desarrollo de modelos de lenguaje </w:t>
      </w:r>
      <w:proofErr w:type="spellStart"/>
      <w:r>
        <w:rPr>
          <w:color w:val="000000"/>
        </w:rPr>
        <w:t>preentrenados</w:t>
      </w:r>
      <w:proofErr w:type="spellEnd"/>
      <w:r>
        <w:rPr>
          <w:color w:val="000000"/>
        </w:rPr>
        <w:t xml:space="preserve"> específicamente en corpus de conflicto </w:t>
      </w:r>
      <w:r>
        <w:rPr>
          <w:color w:val="000000"/>
        </w:rPr>
        <w:lastRenderedPageBreak/>
        <w:t xml:space="preserve">político y violencia armada. Yang et al. (2023) presentaron </w:t>
      </w:r>
      <w:proofErr w:type="spellStart"/>
      <w:r>
        <w:rPr>
          <w:color w:val="000000"/>
        </w:rPr>
        <w:t>ConfliBERT</w:t>
      </w:r>
      <w:proofErr w:type="spellEnd"/>
      <w:r>
        <w:rPr>
          <w:color w:val="000000"/>
        </w:rPr>
        <w:t xml:space="preserve">, una familia de modelos BERT entrenados sobre corpus de noticias, reportes de conflicto y documentos de análisis político, demostrando mejoras significativas respecto a modelos genéricos como </w:t>
      </w:r>
      <w:proofErr w:type="spellStart"/>
      <w:r>
        <w:rPr>
          <w:color w:val="000000"/>
        </w:rPr>
        <w:t>mBERT</w:t>
      </w:r>
      <w:proofErr w:type="spellEnd"/>
      <w:r>
        <w:rPr>
          <w:color w:val="000000"/>
        </w:rPr>
        <w:t xml:space="preserve"> en tareas de clasificación de eventos violentos, reconocimiento de actores armados y detección de patrones de conflicto.</w:t>
      </w:r>
    </w:p>
    <w:p w14:paraId="4592CE40" w14:textId="77777777" w:rsidR="00A23B22" w:rsidRDefault="00000000">
      <w:pPr>
        <w:spacing w:after="200" w:line="360" w:lineRule="auto"/>
        <w:ind w:firstLine="720"/>
        <w:jc w:val="both"/>
      </w:pPr>
      <w:r>
        <w:rPr>
          <w:color w:val="000000"/>
        </w:rPr>
        <w:t xml:space="preserve">La variante </w:t>
      </w:r>
      <w:proofErr w:type="spellStart"/>
      <w:r>
        <w:rPr>
          <w:color w:val="000000"/>
        </w:rPr>
        <w:t>ConfliBERT</w:t>
      </w:r>
      <w:proofErr w:type="spellEnd"/>
      <w:r>
        <w:rPr>
          <w:color w:val="000000"/>
        </w:rPr>
        <w:t xml:space="preserve">-Spanish, entrenada sobre corpus en español relacionados con el conflicto político latinoamericano, es particularmente adecuada para los textos del archivo judicial colombiano: a diferencia de modelos genéricos como BETO (Cañete et al., 2020), </w:t>
      </w:r>
      <w:proofErr w:type="spellStart"/>
      <w:r>
        <w:rPr>
          <w:color w:val="000000"/>
        </w:rPr>
        <w:t>ConfliBERT</w:t>
      </w:r>
      <w:proofErr w:type="spellEnd"/>
      <w:r>
        <w:rPr>
          <w:color w:val="000000"/>
        </w:rPr>
        <w:t>-Spanish ha sido expuesto durante el preentrenamiento a vocabulario de violencia política, terminología militar y lenguaje de derechos humanos que es precisamente el dominio del corpus CFH. Yang et al. (2023) reportan mejoras de 3-8 puntos de F1 respecto a BETO en tareas de extracción de relaciones causales en textos de conflicto en español.</w:t>
      </w:r>
    </w:p>
    <w:p w14:paraId="2BFF42AB" w14:textId="77777777" w:rsidR="00A23B22" w:rsidRDefault="00000000">
      <w:pPr>
        <w:pStyle w:val="Ttulo3"/>
      </w:pPr>
      <w:r>
        <w:t>2.2.3 Análisis del discurso judicial con NLP</w:t>
      </w:r>
    </w:p>
    <w:p w14:paraId="7AAD76A7" w14:textId="77777777" w:rsidR="00A23B22" w:rsidRDefault="00000000">
      <w:pPr>
        <w:spacing w:after="200" w:line="360" w:lineRule="auto"/>
        <w:ind w:firstLine="720"/>
        <w:jc w:val="both"/>
      </w:pPr>
      <w:r>
        <w:rPr>
          <w:color w:val="000000"/>
        </w:rPr>
        <w:t>La aplicación del NLP al análisis crítico del discurso judicial —más allá de las tareas de clasificación y extracción— es un campo emergente con pocos antecedentes directos. Sosa et al. (2025) realizaron un análisis de sentimientos sobre transcripciones de audiencias del Macrocaso 003 de la JEP, identificando patrones de valencia emocional positiva y negativa en las intervenciones de comparecientes y víctimas. Su trabajo es el antecedente empírico más directo de esta tesis en el contexto colombiano, aunque su enfoque en el sentimiento emocional difiere del enfoque de la CFH en los mecanismos discursivos de injusticia.</w:t>
      </w:r>
    </w:p>
    <w:p w14:paraId="6BADF162" w14:textId="77777777" w:rsidR="00A23B22" w:rsidRDefault="00000000">
      <w:pPr>
        <w:spacing w:after="200" w:line="360" w:lineRule="auto"/>
        <w:ind w:firstLine="720"/>
        <w:jc w:val="both"/>
      </w:pPr>
      <w:r>
        <w:rPr>
          <w:color w:val="000000"/>
        </w:rPr>
        <w:t xml:space="preserve">En el ámbito internacional, </w:t>
      </w:r>
      <w:proofErr w:type="spellStart"/>
      <w:r>
        <w:rPr>
          <w:color w:val="000000"/>
        </w:rPr>
        <w:t>Lippi</w:t>
      </w:r>
      <w:proofErr w:type="spellEnd"/>
      <w:r>
        <w:rPr>
          <w:color w:val="000000"/>
        </w:rPr>
        <w:t xml:space="preserve"> y </w:t>
      </w:r>
      <w:proofErr w:type="spellStart"/>
      <w:r>
        <w:rPr>
          <w:color w:val="000000"/>
        </w:rPr>
        <w:t>Torroni</w:t>
      </w:r>
      <w:proofErr w:type="spellEnd"/>
      <w:r>
        <w:rPr>
          <w:color w:val="000000"/>
        </w:rPr>
        <w:t xml:space="preserve"> (2016) desarrollaron sistemas de argumentación automática capaces de identificar premisas y conclusiones en textos jurídicos. </w:t>
      </w:r>
      <w:proofErr w:type="spellStart"/>
      <w:r>
        <w:rPr>
          <w:color w:val="000000"/>
        </w:rPr>
        <w:t>Branting</w:t>
      </w:r>
      <w:proofErr w:type="spellEnd"/>
      <w:r>
        <w:rPr>
          <w:color w:val="000000"/>
        </w:rPr>
        <w:t xml:space="preserve"> et al. (2021) aplicaron </w:t>
      </w:r>
      <w:proofErr w:type="spellStart"/>
      <w:r>
        <w:rPr>
          <w:color w:val="000000"/>
        </w:rPr>
        <w:t>transformers</w:t>
      </w:r>
      <w:proofErr w:type="spellEnd"/>
      <w:r>
        <w:rPr>
          <w:color w:val="000000"/>
        </w:rPr>
        <w:t xml:space="preserve"> para la extracción de ratios decidendi en sentencias del Tribunal Europeo de Derechos Humanos. </w:t>
      </w:r>
      <w:proofErr w:type="spellStart"/>
      <w:r>
        <w:rPr>
          <w:color w:val="000000"/>
        </w:rPr>
        <w:t>Medvedeva</w:t>
      </w:r>
      <w:proofErr w:type="spellEnd"/>
      <w:r>
        <w:rPr>
          <w:color w:val="000000"/>
        </w:rPr>
        <w:t xml:space="preserve"> et al. (2020) demostraron que modelos BERT pueden predecir con alta precisión el resultado de casos ante el TEDH a partir del texto de los hechos. Sin </w:t>
      </w:r>
      <w:r>
        <w:rPr>
          <w:color w:val="000000"/>
        </w:rPr>
        <w:lastRenderedPageBreak/>
        <w:t>embargo, ninguno de estos trabajos aborda la violencia discursiva institucional ni la medición de la injusticia lingüística en archivos judiciales de justicia transicional.</w:t>
      </w:r>
    </w:p>
    <w:p w14:paraId="0B121B3D" w14:textId="77777777" w:rsidR="00A23B22" w:rsidRDefault="00000000">
      <w:pPr>
        <w:pStyle w:val="Ttulo3"/>
      </w:pPr>
      <w:r>
        <w:t>2.2.4 La brecha: el análisis de la violencia cultural en el discurso judicial</w:t>
      </w:r>
    </w:p>
    <w:p w14:paraId="50ABB685" w14:textId="77777777" w:rsidR="00A23B22" w:rsidRDefault="00000000">
      <w:pPr>
        <w:spacing w:after="200" w:line="360" w:lineRule="auto"/>
        <w:ind w:firstLine="720"/>
        <w:jc w:val="both"/>
      </w:pPr>
      <w:r>
        <w:rPr>
          <w:color w:val="000000"/>
        </w:rPr>
        <w:t>La revisión de literatura revela una brecha clara: no existe, hasta donde alcanza esta búsqueda, un sistema de NLP diseñado específicamente para medir los mecanismos de violencia cultural en el discurso judicial. Las herramientas existentes de análisis del discurso con NLP se centran en tareas como la detección de discurso de odio en redes sociales (Fortuna y Nunes, 2018), el análisis de la retórica política (</w:t>
      </w:r>
      <w:proofErr w:type="spellStart"/>
      <w:r>
        <w:rPr>
          <w:color w:val="000000"/>
        </w:rPr>
        <w:t>Rheault</w:t>
      </w:r>
      <w:proofErr w:type="spellEnd"/>
      <w:r>
        <w:rPr>
          <w:color w:val="000000"/>
        </w:rPr>
        <w:t xml:space="preserve"> y Cochrane, 2020) o la identificación de sesgos en decisiones judiciales (</w:t>
      </w:r>
      <w:proofErr w:type="spellStart"/>
      <w:r>
        <w:rPr>
          <w:color w:val="000000"/>
        </w:rPr>
        <w:t>Chalkidis</w:t>
      </w:r>
      <w:proofErr w:type="spellEnd"/>
      <w:r>
        <w:rPr>
          <w:color w:val="000000"/>
        </w:rPr>
        <w:t xml:space="preserve"> et al., 2019). Ninguna de estas tradiciones aborda la pregunta específica que esta tesis plantea: ¿cómo medir, a escala del corpus, la distancia semántica entre el lenguaje con que el Estado describió sus crímenes y el lenguaje con que las víctimas articularon su experiencia?</w:t>
      </w:r>
    </w:p>
    <w:p w14:paraId="6685F178" w14:textId="77777777" w:rsidR="00A23B22" w:rsidRDefault="00A23B22">
      <w:pPr>
        <w:spacing w:after="120"/>
      </w:pPr>
    </w:p>
    <w:p w14:paraId="3B8D6AAD" w14:textId="77777777" w:rsidR="00A23B22" w:rsidRDefault="00000000">
      <w:pPr>
        <w:pStyle w:val="Ttulo2"/>
      </w:pPr>
      <w:r>
        <w:t>2.3 Justicia transicional y análisis del discurso</w:t>
      </w:r>
    </w:p>
    <w:p w14:paraId="3B423FC5" w14:textId="77777777" w:rsidR="00A23B22" w:rsidRDefault="00000000">
      <w:pPr>
        <w:pStyle w:val="Ttulo3"/>
      </w:pPr>
      <w:r>
        <w:t>2.3.1 El modelo de justicia transicional colombiano</w:t>
      </w:r>
    </w:p>
    <w:p w14:paraId="779548FF" w14:textId="77777777" w:rsidR="00A23B22" w:rsidRDefault="00000000">
      <w:pPr>
        <w:spacing w:after="200" w:line="360" w:lineRule="auto"/>
        <w:ind w:firstLine="720"/>
        <w:jc w:val="both"/>
      </w:pPr>
      <w:r>
        <w:rPr>
          <w:color w:val="000000"/>
        </w:rPr>
        <w:t>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—que incluyen proyectos de reparación a las víctimas— para quienes reconozcan verdad completa, detallada y exhaustiva y asuman responsabilidad (Jurisdicción Especial para la Paz, 2017).</w:t>
      </w:r>
    </w:p>
    <w:p w14:paraId="351E5613" w14:textId="77777777" w:rsidR="00A23B22" w:rsidRDefault="00000000">
      <w:pPr>
        <w:spacing w:after="200" w:line="360" w:lineRule="auto"/>
        <w:ind w:firstLine="720"/>
        <w:jc w:val="both"/>
      </w:pPr>
      <w:r>
        <w:rPr>
          <w:color w:val="000000"/>
        </w:rPr>
        <w:t xml:space="preserve">El Macrocaso 003 es el más avanzado de los once </w:t>
      </w:r>
      <w:proofErr w:type="spellStart"/>
      <w:r>
        <w:rPr>
          <w:color w:val="000000"/>
        </w:rPr>
        <w:t>macrocasos</w:t>
      </w:r>
      <w:proofErr w:type="spellEnd"/>
      <w:r>
        <w:rPr>
          <w:color w:val="000000"/>
        </w:rPr>
        <w:t xml:space="preserve"> de la JEP. Ha producido los primeros autos de determinación de hechos y conductas (2021), las primeras resoluciones de conclusiones (2022) y las primeras audiencias públicas de </w:t>
      </w:r>
      <w:r>
        <w:rPr>
          <w:color w:val="000000"/>
        </w:rPr>
        <w:lastRenderedPageBreak/>
        <w:t>reconocimiento celebradas en Colombia (2022). Según la JEP (2022), la RC-01/2022 marcó un «hito sin precedentes» en la justicia transicional global al ser la primera resolución en que un tribunal determina que oficiales del Ejército, incluyendo un general de brigada, reconocieron crímenes de guerra y de lesa humanidad y fueron postulados para sanciones propias.</w:t>
      </w:r>
    </w:p>
    <w:p w14:paraId="67D8DF0E" w14:textId="77777777" w:rsidR="00A23B22" w:rsidRDefault="00000000">
      <w:pPr>
        <w:pStyle w:val="Ttulo3"/>
      </w:pPr>
      <w:r>
        <w:t>2.3.2 La dimensión lingüística de la justicia transicional</w:t>
      </w:r>
    </w:p>
    <w:p w14:paraId="05F21938" w14:textId="77777777" w:rsidR="00A23B22" w:rsidRDefault="00000000">
      <w:pPr>
        <w:spacing w:after="200" w:line="360" w:lineRule="auto"/>
        <w:ind w:firstLine="720"/>
        <w:jc w:val="both"/>
      </w:pPr>
      <w:r>
        <w:rPr>
          <w:color w:val="000000"/>
        </w:rPr>
        <w:t xml:space="preserve">Investigadores del análisis crítico del discurso han señalado que la justicia transicional no es solo un proceso jurídico sino también un proceso de transformación lingüística: implica el reemplazo del lenguaje de la guerra por el lenguaje de los derechos, de los eufemismos por las denominaciones directas, del encubrimiento por el reconocimiento (van Dijk, 2008; </w:t>
      </w:r>
      <w:proofErr w:type="spellStart"/>
      <w:r>
        <w:rPr>
          <w:color w:val="000000"/>
        </w:rPr>
        <w:t>Wodak</w:t>
      </w:r>
      <w:proofErr w:type="spellEnd"/>
      <w:r>
        <w:rPr>
          <w:color w:val="000000"/>
        </w:rPr>
        <w:t>, 2015). Esta dimensión lingüística ha sido analizada cualitativamente en varios contextos de posconflicto: las comisiones de verdad de Sudáfrica (</w:t>
      </w:r>
      <w:proofErr w:type="spellStart"/>
      <w:r>
        <w:rPr>
          <w:color w:val="000000"/>
        </w:rPr>
        <w:t>Mamdani</w:t>
      </w:r>
      <w:proofErr w:type="spellEnd"/>
      <w:r>
        <w:rPr>
          <w:color w:val="000000"/>
        </w:rPr>
        <w:t>, 1996), Argentina (</w:t>
      </w:r>
      <w:proofErr w:type="spellStart"/>
      <w:r>
        <w:rPr>
          <w:color w:val="000000"/>
        </w:rPr>
        <w:t>Jelin</w:t>
      </w:r>
      <w:proofErr w:type="spellEnd"/>
      <w:r>
        <w:rPr>
          <w:color w:val="000000"/>
        </w:rPr>
        <w:t xml:space="preserve">, 2002) y </w:t>
      </w:r>
      <w:proofErr w:type="spellStart"/>
      <w:r>
        <w:rPr>
          <w:color w:val="000000"/>
        </w:rPr>
        <w:t>Rwanda</w:t>
      </w:r>
      <w:proofErr w:type="spellEnd"/>
      <w:r>
        <w:rPr>
          <w:color w:val="000000"/>
        </w:rPr>
        <w:t xml:space="preserve"> (Clark, 2010).</w:t>
      </w:r>
    </w:p>
    <w:p w14:paraId="33BE39DC" w14:textId="77777777" w:rsidR="00A23B22" w:rsidRDefault="00000000">
      <w:pPr>
        <w:spacing w:after="200" w:line="360" w:lineRule="auto"/>
        <w:ind w:firstLine="720"/>
        <w:jc w:val="both"/>
      </w:pPr>
      <w:r>
        <w:rPr>
          <w:color w:val="000000"/>
        </w:rPr>
        <w:t>En el caso colombiano, el trabajo de Jaramillo (2021) sobre el lenguaje de las audiencias JEP identifica patrones de «rehumanización discursiva» en las intervenciones de comparecientes que reconocen responsabilidad: el uso del nombre propio de las víctimas, la mención de sus características personales, el abandono del vocabulario militar para describir los hechos. Sin embargo, Jaramillo utiliza métodos cualitativos de análisis del discurso que, si bien son ricos en interpretación, no son escalables al volumen del archivo judicial colombiano.</w:t>
      </w:r>
    </w:p>
    <w:p w14:paraId="23BE6F76" w14:textId="77777777" w:rsidR="00A23B22" w:rsidRDefault="00000000">
      <w:pPr>
        <w:spacing w:after="200" w:line="360" w:lineRule="auto"/>
        <w:ind w:firstLine="720"/>
        <w:jc w:val="both"/>
      </w:pPr>
      <w:r>
        <w:rPr>
          <w:color w:val="000000"/>
        </w:rPr>
        <w:t>Precisamente en esta tensión entre profundidad interpretativa y escalabilidad computacional se ubica la contribución de la CFH: proporcionar un método que capture la dimensión lingüística de la transición epistémica a una escala que el análisis cualitativo no puede abordar, sin perder el ancla en los marcos teóricos que le dan sentido.</w:t>
      </w:r>
    </w:p>
    <w:p w14:paraId="5BC6C0BB" w14:textId="77777777" w:rsidR="00A23B22" w:rsidRDefault="00000000">
      <w:pPr>
        <w:pStyle w:val="Ttulo3"/>
      </w:pPr>
      <w:r>
        <w:t>2.3.3 Justicia discursiva: Habermas y el procedimentalismo comunicativo</w:t>
      </w:r>
    </w:p>
    <w:p w14:paraId="72DCAEFB" w14:textId="77777777" w:rsidR="00A23B22" w:rsidRDefault="00000000">
      <w:pPr>
        <w:spacing w:after="200" w:line="360" w:lineRule="auto"/>
        <w:ind w:firstLine="720"/>
        <w:jc w:val="both"/>
      </w:pPr>
      <w:r>
        <w:rPr>
          <w:color w:val="000000"/>
        </w:rPr>
        <w:lastRenderedPageBreak/>
        <w:t>El concepto de justicia discursiva de Habermas (1984, 1996) ha sido aplicado al análisis de los procesos de justicia transicional para evaluar en qué medida esos procesos cumplen con las condiciones procedimentales del diálogo racional: participación igualitaria, argumentación libre de coerción, orientación al entendimiento mutuo. Forst (2014) extiende este análisis al plano transnacional, argumentando que la justicia discursiva en contextos de posconflicto debe considerar los diferentes niveles de jurisdicción —nacional, regional, internacional— y sus interacciones.</w:t>
      </w:r>
    </w:p>
    <w:p w14:paraId="1731C65A" w14:textId="77777777" w:rsidR="00A23B22" w:rsidRDefault="00000000">
      <w:pPr>
        <w:spacing w:after="200" w:line="360" w:lineRule="auto"/>
        <w:ind w:firstLine="720"/>
        <w:jc w:val="both"/>
      </w:pPr>
      <w:r>
        <w:rPr>
          <w:color w:val="000000"/>
        </w:rPr>
        <w:t xml:space="preserve">Sin embargo, la aplicación del procedimentalismo habermasiano a los crímenes de lesa humanidad enfrenta la tensión señalada en el marco teórico: ¿puede un proceso comunicativo generar justicia cuando las asimetrías de poder entre víctimas y victimarios son tan extremas? Lafont (1999) y Cristina </w:t>
      </w:r>
      <w:proofErr w:type="spellStart"/>
      <w:r>
        <w:rPr>
          <w:color w:val="000000"/>
        </w:rPr>
        <w:t>Lafort</w:t>
      </w:r>
      <w:proofErr w:type="spellEnd"/>
      <w:r>
        <w:rPr>
          <w:color w:val="000000"/>
        </w:rPr>
        <w:t xml:space="preserve"> argumentan que el procedimentalismo corre el riesgo de colapsar la distinción entre acuerdo fáctico y corrección moral si no se ancla en contenidos normativos sustantivos. Esta crítica es metodológicamente relevante para la CFH: explica por qué el DIS Score no se mide solo como distancia respecto a un vocabulario de «consenso» genérico, sino respecto a fuentes normativas específicas —MAFAPO y CIDH— que encarnan el contenido de la justicia para estas víctimas concretas.</w:t>
      </w:r>
    </w:p>
    <w:p w14:paraId="6B932536" w14:textId="77777777" w:rsidR="00A23B22" w:rsidRDefault="00000000">
      <w:pPr>
        <w:pStyle w:val="Ttulo3"/>
      </w:pPr>
      <w:r>
        <w:t>2.3.4 Justicia restaurativa y transformación semántica</w:t>
      </w:r>
    </w:p>
    <w:p w14:paraId="07078381" w14:textId="77777777" w:rsidR="00A23B22" w:rsidRDefault="00000000">
      <w:pPr>
        <w:spacing w:after="200" w:line="360" w:lineRule="auto"/>
        <w:ind w:firstLine="720"/>
        <w:jc w:val="both"/>
      </w:pPr>
      <w:r>
        <w:rPr>
          <w:color w:val="000000"/>
        </w:rPr>
        <w:t>La literatura sobre justicia restaurativa en contextos de posconflicto (</w:t>
      </w:r>
      <w:proofErr w:type="spellStart"/>
      <w:r>
        <w:rPr>
          <w:color w:val="000000"/>
        </w:rPr>
        <w:t>Zehr</w:t>
      </w:r>
      <w:proofErr w:type="spellEnd"/>
      <w:r>
        <w:rPr>
          <w:color w:val="000000"/>
        </w:rPr>
        <w:t>, 2002; Braithwaite, 2002) ha identificado el lenguaje como un componente central de la reparación simbólica. El reconocimiento verbal de la responsabilidad, el pedido de perdón público, la mención del nombre de la víctima y la descripción directa del daño causado son actos lingüísticos que constituyen —no solo simbolizan— la reparación (Austin, 1962; Searle, 1969). Desde esta perspectiva, la Ruptura Epistémica Positiva (REP) que mide la CFH no es un mero cambio de vocabulario: es un acto de reparación discursiva que tiene efectos jurídicos, morales y sociales.</w:t>
      </w:r>
    </w:p>
    <w:p w14:paraId="464C9B25" w14:textId="77777777" w:rsidR="00A23B22" w:rsidRDefault="00000000">
      <w:pPr>
        <w:spacing w:after="200" w:line="360" w:lineRule="auto"/>
        <w:ind w:firstLine="720"/>
        <w:jc w:val="both"/>
      </w:pPr>
      <w:r>
        <w:rPr>
          <w:color w:val="000000"/>
        </w:rPr>
        <w:lastRenderedPageBreak/>
        <w:t>Esta conceptualización tiene implicaciones para el diseño del modelo: si la REP es un acto de reparación y no solo un indicador lingüístico, entonces su medición debe ser sensible a la autenticidad y el contexto. La incorporación de features acústicas (y₁₂) en el análisis del Corpus C responde precisamente a esta consideración: en las audiencias orales, la prosodia, el tono y los marcadores de emoción proveen información adicional sobre la autenticidad del reconocimiento que el texto transcrito no captura completamente.</w:t>
      </w:r>
    </w:p>
    <w:p w14:paraId="03E8A586" w14:textId="77777777" w:rsidR="00A23B22" w:rsidRDefault="00A23B22">
      <w:pPr>
        <w:spacing w:after="120"/>
      </w:pPr>
    </w:p>
    <w:p w14:paraId="0F22B94F" w14:textId="77777777" w:rsidR="00A23B22" w:rsidRDefault="00000000">
      <w:pPr>
        <w:pStyle w:val="Ttulo2"/>
      </w:pPr>
      <w:r>
        <w:t>2.4 Modelos de ecuaciones estructurales en ciencias sociales computacionales</w:t>
      </w:r>
    </w:p>
    <w:p w14:paraId="422BC4F2" w14:textId="77777777" w:rsidR="00A23B22" w:rsidRDefault="00000000">
      <w:pPr>
        <w:pStyle w:val="Ttulo3"/>
      </w:pPr>
      <w:r>
        <w:t>2.4.1 El SEM como marco para variables latentes</w:t>
      </w:r>
    </w:p>
    <w:p w14:paraId="242F4910" w14:textId="77777777" w:rsidR="00A23B22" w:rsidRDefault="00000000">
      <w:pPr>
        <w:spacing w:after="200" w:line="360" w:lineRule="auto"/>
        <w:ind w:firstLine="720"/>
        <w:jc w:val="both"/>
      </w:pPr>
      <w:r>
        <w:rPr>
          <w:color w:val="000000"/>
        </w:rPr>
        <w:t>Los modelos de ecuaciones estructurales (SEM) son una familia de métodos estadísticos que permiten estimar relaciones entre variables latentes —constructos no observados directamente— a partir de indicadores observables (Kline, 2023). A diferencia de la regresión múltiple, que modela relaciones entre variables observadas, el SEM combina un modelo de medición (que especifica cómo los indicadores operacionalizan las variables latentes) y un modelo estructural (que especifica las relaciones causales entre las variables latentes).</w:t>
      </w:r>
    </w:p>
    <w:p w14:paraId="4512B9C9" w14:textId="77777777" w:rsidR="00A23B22" w:rsidRDefault="00000000">
      <w:pPr>
        <w:spacing w:after="200" w:line="360" w:lineRule="auto"/>
        <w:ind w:firstLine="720"/>
        <w:jc w:val="both"/>
      </w:pPr>
      <w:r>
        <w:rPr>
          <w:color w:val="000000"/>
        </w:rPr>
        <w:t xml:space="preserve">El SEM es particularmente adecuado para los propósitos de la CFH por tres razones. Primera, permite modelar constructos como «violencia discursiva» o «transición epistémica» que son teóricamente </w:t>
      </w:r>
      <w:proofErr w:type="gramStart"/>
      <w:r>
        <w:rPr>
          <w:color w:val="000000"/>
        </w:rPr>
        <w:t>significativos</w:t>
      </w:r>
      <w:proofErr w:type="gramEnd"/>
      <w:r>
        <w:rPr>
          <w:color w:val="000000"/>
        </w:rPr>
        <w:t xml:space="preserve"> pero no directamente observables. Segunda, permite integrar múltiples indicadores de cada constructo, aprovechando la riqueza de los extractores NLP sin reducir el análisis a una sola métrica. Tercera, permite evaluar la validez de medición mediante pruebas de ajuste del modelo y análisis de invarianza, lo que es esencial para comparar el DIS Score entre los tres subsistemas de justicia.</w:t>
      </w:r>
    </w:p>
    <w:p w14:paraId="7A6E3F17" w14:textId="77777777" w:rsidR="00A23B22" w:rsidRDefault="00000000">
      <w:pPr>
        <w:pStyle w:val="Ttulo3"/>
      </w:pPr>
      <w:r>
        <w:t>2.4.2 SEM en lingüística computacional y análisis del discurso</w:t>
      </w:r>
    </w:p>
    <w:p w14:paraId="727744D9" w14:textId="77777777" w:rsidR="00A23B22" w:rsidRDefault="00000000">
      <w:pPr>
        <w:spacing w:after="200" w:line="360" w:lineRule="auto"/>
        <w:ind w:firstLine="720"/>
        <w:jc w:val="both"/>
      </w:pPr>
      <w:r>
        <w:rPr>
          <w:color w:val="000000"/>
        </w:rPr>
        <w:lastRenderedPageBreak/>
        <w:t>La aplicación del SEM al análisis del discurso y la lingüística computacional tiene antecedentes en la literatura de psicología social y comunicación, donde se ha utilizado para modelar constructos como la credibilidad percibida, el sesgo informativo o la polarización del discurso político (</w:t>
      </w:r>
      <w:proofErr w:type="spellStart"/>
      <w:r>
        <w:rPr>
          <w:color w:val="000000"/>
        </w:rPr>
        <w:t>Boukes</w:t>
      </w:r>
      <w:proofErr w:type="spellEnd"/>
      <w:r>
        <w:rPr>
          <w:color w:val="000000"/>
        </w:rPr>
        <w:t xml:space="preserve"> et al., 2019; </w:t>
      </w:r>
      <w:proofErr w:type="spellStart"/>
      <w:r>
        <w:rPr>
          <w:color w:val="000000"/>
        </w:rPr>
        <w:t>Entman</w:t>
      </w:r>
      <w:proofErr w:type="spellEnd"/>
      <w:r>
        <w:rPr>
          <w:color w:val="000000"/>
        </w:rPr>
        <w:t>, 2010). Sin embargo, su aplicación a corpus judiciales en el contexto de la justicia transicional es, hasta donde alcanza esta revisión, un aporte original de esta investigación.</w:t>
      </w:r>
    </w:p>
    <w:p w14:paraId="64991D75" w14:textId="77777777" w:rsidR="00A23B22" w:rsidRDefault="00000000">
      <w:pPr>
        <w:spacing w:after="200" w:line="360" w:lineRule="auto"/>
        <w:ind w:firstLine="720"/>
        <w:jc w:val="both"/>
      </w:pPr>
      <w:r>
        <w:rPr>
          <w:color w:val="000000"/>
        </w:rPr>
        <w:t xml:space="preserve">Trabajos recientes en ciencias sociales computacionales han combinado </w:t>
      </w:r>
      <w:proofErr w:type="spellStart"/>
      <w:r>
        <w:rPr>
          <w:color w:val="000000"/>
        </w:rPr>
        <w:t>embeddings</w:t>
      </w:r>
      <w:proofErr w:type="spellEnd"/>
      <w:r>
        <w:rPr>
          <w:color w:val="000000"/>
        </w:rPr>
        <w:t xml:space="preserve"> de texto con SEM para medir constructos latentes en grandes corpus de texto. </w:t>
      </w:r>
      <w:proofErr w:type="spellStart"/>
      <w:r>
        <w:rPr>
          <w:color w:val="000000"/>
        </w:rPr>
        <w:t>Kozlowski</w:t>
      </w:r>
      <w:proofErr w:type="spellEnd"/>
      <w:r>
        <w:rPr>
          <w:color w:val="000000"/>
        </w:rPr>
        <w:t xml:space="preserve"> et al. (2019) utilizaron </w:t>
      </w:r>
      <w:proofErr w:type="spellStart"/>
      <w:r>
        <w:rPr>
          <w:color w:val="000000"/>
        </w:rPr>
        <w:t>embeddings</w:t>
      </w:r>
      <w:proofErr w:type="spellEnd"/>
      <w:r>
        <w:rPr>
          <w:color w:val="000000"/>
        </w:rPr>
        <w:t xml:space="preserve"> de palabras para medir dimensiones culturales latentes en corpus históricos de prensa, demostrando que los espacios vectoriales capturan no solo significados léxicos sino también estructuras ideológicas. </w:t>
      </w:r>
      <w:proofErr w:type="spellStart"/>
      <w:r>
        <w:rPr>
          <w:color w:val="000000"/>
        </w:rPr>
        <w:t>Garg</w:t>
      </w:r>
      <w:proofErr w:type="spellEnd"/>
      <w:r>
        <w:rPr>
          <w:color w:val="000000"/>
        </w:rPr>
        <w:t xml:space="preserve"> et al. (2018) aplicaron un enfoque similar para medir el cambio en los estereotipos de género y etnicidad en corpus históricos del inglés. Estos trabajos establecen el precedente metodológico para la incorporación de </w:t>
      </w:r>
      <w:proofErr w:type="spellStart"/>
      <w:r>
        <w:rPr>
          <w:color w:val="000000"/>
        </w:rPr>
        <w:t>embeddings</w:t>
      </w:r>
      <w:proofErr w:type="spellEnd"/>
      <w:r>
        <w:rPr>
          <w:color w:val="000000"/>
        </w:rPr>
        <w:t xml:space="preserve"> de </w:t>
      </w:r>
      <w:proofErr w:type="spellStart"/>
      <w:r>
        <w:rPr>
          <w:color w:val="000000"/>
        </w:rPr>
        <w:t>ConfliBERT</w:t>
      </w:r>
      <w:proofErr w:type="spellEnd"/>
      <w:r>
        <w:rPr>
          <w:color w:val="000000"/>
        </w:rPr>
        <w:t>-Spanish como indicadores observables en el modelo SEM de la CFH.</w:t>
      </w:r>
    </w:p>
    <w:p w14:paraId="610C0F9B" w14:textId="77777777" w:rsidR="00A23B22" w:rsidRDefault="00000000">
      <w:pPr>
        <w:pStyle w:val="Ttulo3"/>
      </w:pPr>
      <w:r>
        <w:t xml:space="preserve">2.4.3 Análisis </w:t>
      </w:r>
      <w:proofErr w:type="spellStart"/>
      <w:r>
        <w:t>multi-grupo</w:t>
      </w:r>
      <w:proofErr w:type="spellEnd"/>
      <w:r>
        <w:t xml:space="preserve"> y comparación entre sistemas de justicia</w:t>
      </w:r>
    </w:p>
    <w:p w14:paraId="26BFA20C" w14:textId="77777777" w:rsidR="00A23B22" w:rsidRDefault="00000000">
      <w:pPr>
        <w:spacing w:after="200" w:line="360" w:lineRule="auto"/>
        <w:ind w:firstLine="720"/>
        <w:jc w:val="both"/>
      </w:pPr>
      <w:r>
        <w:rPr>
          <w:color w:val="000000"/>
        </w:rPr>
        <w:t xml:space="preserve">El análisis </w:t>
      </w:r>
      <w:proofErr w:type="spellStart"/>
      <w:r>
        <w:rPr>
          <w:color w:val="000000"/>
        </w:rPr>
        <w:t>multi-grupo</w:t>
      </w:r>
      <w:proofErr w:type="spellEnd"/>
      <w:r>
        <w:rPr>
          <w:color w:val="000000"/>
        </w:rPr>
        <w:t xml:space="preserve"> (MG-SEM) es una extensión del SEM básico que permite evaluar si un modelo presenta invarianza de medición entre grupos distintos: es decir, si los indicadores miden las mismas construcciones latentes con la misma métrica en diferentes contextos (Vandenberg y Lance, 2000). La invarianza de medición es un prerrequisito para que las comparaciones entre grupos sean interpretables: si los indicadores significan cosas distintas en el corpus CE que en el corpus JEP, entonces comparar los DIS Scores entre ambos grupos sería metodológicamente inválido.</w:t>
      </w:r>
    </w:p>
    <w:p w14:paraId="20B8800D" w14:textId="77777777" w:rsidR="00A23B22" w:rsidRDefault="00000000">
      <w:pPr>
        <w:spacing w:after="200" w:line="360" w:lineRule="auto"/>
        <w:ind w:firstLine="720"/>
        <w:jc w:val="both"/>
      </w:pPr>
      <w:r>
        <w:rPr>
          <w:color w:val="000000"/>
        </w:rPr>
        <w:t>La secuencia estándar de pruebas de invarianza —</w:t>
      </w:r>
      <w:proofErr w:type="spellStart"/>
      <w:r>
        <w:rPr>
          <w:color w:val="000000"/>
        </w:rPr>
        <w:t>configural</w:t>
      </w:r>
      <w:proofErr w:type="spellEnd"/>
      <w:r>
        <w:rPr>
          <w:color w:val="000000"/>
        </w:rPr>
        <w:t xml:space="preserve">, métrica y escalar— permite identificar en qué nivel el modelo es comparable entre grupos y </w:t>
      </w:r>
      <w:r>
        <w:rPr>
          <w:color w:val="000000"/>
        </w:rPr>
        <w:lastRenderedPageBreak/>
        <w:t>qué parámetros difieren sistemáticamente (Byrne, 2012). En el contexto de la CFH, este análisis permite no solo comparar los niveles medios de injusticia discursiva entre los tres subsistemas, sino también evaluar si la estructura del fenómeno —la relación entre sus dimensiones— es la misma en la justicia ordinaria y la justicia transicional, o si la transición epistémica opera a través de mecanismos distintos en cada contexto.</w:t>
      </w:r>
    </w:p>
    <w:p w14:paraId="61153675" w14:textId="77777777" w:rsidR="00A23B22" w:rsidRDefault="00000000">
      <w:pPr>
        <w:pStyle w:val="Ttulo3"/>
      </w:pPr>
      <w:r>
        <w:t>2.4.4 Síntesis: la brecha que llena la CFH</w:t>
      </w:r>
    </w:p>
    <w:p w14:paraId="05D70824" w14:textId="77777777" w:rsidR="00A23B22" w:rsidRDefault="00000000">
      <w:pPr>
        <w:spacing w:after="200" w:line="360" w:lineRule="auto"/>
        <w:ind w:firstLine="720"/>
        <w:jc w:val="both"/>
      </w:pPr>
      <w:r>
        <w:rPr>
          <w:color w:val="000000"/>
        </w:rPr>
        <w:t>La revisión de la literatura permite identificar con precisión la contribución original de esta investigación. Existe un cuerpo robusto de documentación sobre el fenómeno de los falsos positivos (sección 2.1), un campo en desarrollo del Legal NLP (sección 2.2), una tradición de análisis discursivo de la justicia transicional (sección 2.3) y un conjunto de herramientas estadísticas para modelar constructos latentes (sección 2.4). Sin embargo, ningún trabajo anterior ha integrado estas cuatro tradiciones en un marco coherente y computacionalmente implementado para medir la injusticia discursiva en archivos judiciales.</w:t>
      </w:r>
    </w:p>
    <w:p w14:paraId="255FF431" w14:textId="77777777" w:rsidR="00A23B22" w:rsidRDefault="00000000">
      <w:pPr>
        <w:spacing w:after="200" w:line="360" w:lineRule="auto"/>
        <w:ind w:firstLine="720"/>
        <w:jc w:val="both"/>
      </w:pPr>
      <w:r>
        <w:rPr>
          <w:color w:val="000000"/>
        </w:rPr>
        <w:t>La CFH llena esa brecha al: (1) operacionalizar los conceptos del análisis crítico del discurso en indicadores NLP computacionalmente extraíbles; (2) anclar esos indicadores en un marco teórico (Fraser-Galtung) que les da significado político y moral; (3) integrarlos en un modelo SEM que captura las relaciones estructurales entre las dimensiones del fenómeno; y (4) aplicar todo ello a un corpus multiinstitucional inédito —331 documentos de justicia ordinaria y 10 de justicia transicional— sobre el archivo judicial colombiano de los falsos positivos.</w:t>
      </w:r>
    </w:p>
    <w:p w14:paraId="6D27CE98" w14:textId="77777777" w:rsidR="00A23B22" w:rsidRDefault="00A23B22">
      <w:pPr>
        <w:spacing w:after="120"/>
      </w:pPr>
    </w:p>
    <w:p w14:paraId="2B2D9268" w14:textId="77777777" w:rsidR="00A23B22" w:rsidRDefault="00000000">
      <w:pPr>
        <w:spacing w:before="480" w:after="200"/>
      </w:pPr>
      <w:r>
        <w:rPr>
          <w:b/>
          <w:bCs/>
          <w:color w:val="000000"/>
          <w:sz w:val="22"/>
          <w:szCs w:val="22"/>
        </w:rPr>
        <w:t>Referencias del capítulo</w:t>
      </w:r>
    </w:p>
    <w:p w14:paraId="0E567CEC" w14:textId="77777777" w:rsidR="00A23B22" w:rsidRPr="009E0746" w:rsidRDefault="00000000">
      <w:pPr>
        <w:spacing w:after="120"/>
        <w:ind w:left="720" w:hanging="720"/>
        <w:jc w:val="both"/>
        <w:rPr>
          <w:lang w:val="en-US"/>
        </w:rPr>
      </w:pPr>
      <w:r>
        <w:rPr>
          <w:color w:val="000000"/>
          <w:sz w:val="20"/>
          <w:szCs w:val="20"/>
        </w:rPr>
        <w:t xml:space="preserve">Austin, J. L. (1962). </w:t>
      </w:r>
      <w:r w:rsidRPr="009E0746">
        <w:rPr>
          <w:color w:val="000000"/>
          <w:sz w:val="20"/>
          <w:szCs w:val="20"/>
          <w:lang w:val="en-US"/>
        </w:rPr>
        <w:t>How to Do Things with Words. Oxford University Press.</w:t>
      </w:r>
    </w:p>
    <w:p w14:paraId="270314BF" w14:textId="77777777" w:rsidR="00A23B22" w:rsidRPr="009E0746" w:rsidRDefault="00000000">
      <w:pPr>
        <w:spacing w:after="120"/>
        <w:ind w:left="720" w:hanging="720"/>
        <w:jc w:val="both"/>
        <w:rPr>
          <w:lang w:val="en-US"/>
        </w:rPr>
      </w:pPr>
      <w:r w:rsidRPr="009E0746">
        <w:rPr>
          <w:color w:val="000000"/>
          <w:sz w:val="20"/>
          <w:szCs w:val="20"/>
          <w:lang w:val="en-US"/>
        </w:rPr>
        <w:t>Boukes, M., Bos, L., y Vliegenthart, R. (2019). Political knowledge and the moderating role of news use on attitude change. Political Communication, 36(3), 341–359.</w:t>
      </w:r>
    </w:p>
    <w:p w14:paraId="3C3FA0E7" w14:textId="77777777" w:rsidR="00A23B22" w:rsidRPr="009E0746" w:rsidRDefault="00000000">
      <w:pPr>
        <w:spacing w:after="120"/>
        <w:ind w:left="720" w:hanging="720"/>
        <w:jc w:val="both"/>
        <w:rPr>
          <w:lang w:val="en-US"/>
        </w:rPr>
      </w:pPr>
      <w:r w:rsidRPr="009E0746">
        <w:rPr>
          <w:color w:val="000000"/>
          <w:sz w:val="20"/>
          <w:szCs w:val="20"/>
          <w:lang w:val="en-US"/>
        </w:rPr>
        <w:t>Braithwaite, J. (2002). Restorative Justice and Responsive Regulation. Oxford University Press.</w:t>
      </w:r>
    </w:p>
    <w:p w14:paraId="700C9CA0" w14:textId="77777777" w:rsidR="00A23B22" w:rsidRPr="009E0746" w:rsidRDefault="00000000">
      <w:pPr>
        <w:spacing w:after="120"/>
        <w:ind w:left="720" w:hanging="720"/>
        <w:jc w:val="both"/>
        <w:rPr>
          <w:lang w:val="en-US"/>
        </w:rPr>
      </w:pPr>
      <w:r w:rsidRPr="009E0746">
        <w:rPr>
          <w:color w:val="000000"/>
          <w:sz w:val="20"/>
          <w:szCs w:val="20"/>
          <w:lang w:val="en-US"/>
        </w:rPr>
        <w:lastRenderedPageBreak/>
        <w:t>Branting, L. K., Pfeifer, C., Baker, B., Ferro, L., Lynch, C., Pfaff, M., y Liao, B. (2021). Automating legal analysis with machine learning. Law, Innovation and Technology, 13(1), 107–126.</w:t>
      </w:r>
    </w:p>
    <w:p w14:paraId="2EE196BE" w14:textId="77777777" w:rsidR="00A23B22" w:rsidRDefault="00000000">
      <w:pPr>
        <w:spacing w:after="120"/>
        <w:ind w:left="720" w:hanging="720"/>
        <w:jc w:val="both"/>
      </w:pPr>
      <w:r w:rsidRPr="009E0746">
        <w:rPr>
          <w:color w:val="000000"/>
          <w:sz w:val="20"/>
          <w:szCs w:val="20"/>
          <w:lang w:val="en-US"/>
        </w:rPr>
        <w:t xml:space="preserve">Byrne, B. M. (2012). Structural Equation Modeling with Mplus: Basic Concepts, Applications, and Programming. </w:t>
      </w:r>
      <w:r>
        <w:rPr>
          <w:color w:val="000000"/>
          <w:sz w:val="20"/>
          <w:szCs w:val="20"/>
        </w:rPr>
        <w:t>Routledge.</w:t>
      </w:r>
    </w:p>
    <w:p w14:paraId="1F60D12A" w14:textId="77777777" w:rsidR="00A23B22" w:rsidRDefault="00000000">
      <w:pPr>
        <w:spacing w:after="120"/>
        <w:ind w:left="720" w:hanging="720"/>
        <w:jc w:val="both"/>
      </w:pPr>
      <w:r>
        <w:rPr>
          <w:color w:val="000000"/>
          <w:sz w:val="20"/>
          <w:szCs w:val="20"/>
        </w:rPr>
        <w:t>Camacho Celis, M. (2025). Hermenéutica Forense Computacional: documentación y estado del arte. Universidad Externado de Colombia. [Documentos de trabajo].</w:t>
      </w:r>
    </w:p>
    <w:p w14:paraId="6044FF70" w14:textId="77777777" w:rsidR="00A23B22" w:rsidRPr="009E0746" w:rsidRDefault="00000000">
      <w:pPr>
        <w:spacing w:after="120"/>
        <w:ind w:left="720" w:hanging="720"/>
        <w:jc w:val="both"/>
        <w:rPr>
          <w:lang w:val="en-US"/>
        </w:rPr>
      </w:pPr>
      <w:r>
        <w:rPr>
          <w:color w:val="000000"/>
          <w:sz w:val="20"/>
          <w:szCs w:val="20"/>
        </w:rPr>
        <w:t xml:space="preserve">Cañete, J., </w:t>
      </w:r>
      <w:proofErr w:type="spellStart"/>
      <w:r>
        <w:rPr>
          <w:color w:val="000000"/>
          <w:sz w:val="20"/>
          <w:szCs w:val="20"/>
        </w:rPr>
        <w:t>Chaperon</w:t>
      </w:r>
      <w:proofErr w:type="spellEnd"/>
      <w:r>
        <w:rPr>
          <w:color w:val="000000"/>
          <w:sz w:val="20"/>
          <w:szCs w:val="20"/>
        </w:rPr>
        <w:t xml:space="preserve">, G., Fuentes, R., Ho, J., Kang, H., y Pérez, J. (2020). </w:t>
      </w:r>
      <w:r w:rsidRPr="009E0746">
        <w:rPr>
          <w:color w:val="000000"/>
          <w:sz w:val="20"/>
          <w:szCs w:val="20"/>
          <w:lang w:val="en-US"/>
        </w:rPr>
        <w:t>Spanish pre-trained BERT model and evaluation data. Proceedings of PML4DC at ICLR 2020.</w:t>
      </w:r>
    </w:p>
    <w:p w14:paraId="52085AF5" w14:textId="77777777" w:rsidR="00A23B22" w:rsidRPr="009E0746" w:rsidRDefault="00000000">
      <w:pPr>
        <w:spacing w:after="120"/>
        <w:ind w:left="720" w:hanging="720"/>
        <w:jc w:val="both"/>
        <w:rPr>
          <w:lang w:val="en-US"/>
        </w:rPr>
      </w:pPr>
      <w:r>
        <w:rPr>
          <w:color w:val="000000"/>
          <w:sz w:val="20"/>
          <w:szCs w:val="20"/>
        </w:rPr>
        <w:t xml:space="preserve">Cepeda Castro, I. y Rojas, J. (2008). A las puertas de El Ubérrimo. </w:t>
      </w:r>
      <w:r w:rsidRPr="009E0746">
        <w:rPr>
          <w:color w:val="000000"/>
          <w:sz w:val="20"/>
          <w:szCs w:val="20"/>
          <w:lang w:val="en-US"/>
        </w:rPr>
        <w:t>Debate.</w:t>
      </w:r>
    </w:p>
    <w:p w14:paraId="259638BB" w14:textId="77777777" w:rsidR="00A23B22" w:rsidRPr="009E0746" w:rsidRDefault="00000000">
      <w:pPr>
        <w:spacing w:after="120"/>
        <w:ind w:left="720" w:hanging="720"/>
        <w:jc w:val="both"/>
        <w:rPr>
          <w:lang w:val="en-US"/>
        </w:rPr>
      </w:pPr>
      <w:r w:rsidRPr="009E0746">
        <w:rPr>
          <w:color w:val="000000"/>
          <w:sz w:val="20"/>
          <w:szCs w:val="20"/>
          <w:lang w:val="en-US"/>
        </w:rPr>
        <w:t>Chalkidis, I., Garneau, N., Cao, Y., Huang, Z., Stathis, T., Thavarajah, J., y Goldfarb, D. (2023). LexFiles and LegalLAMA: Facilitating English Multinational Legal Language Model Development. ACL 2023, 15, 6228–6244.</w:t>
      </w:r>
    </w:p>
    <w:p w14:paraId="0F0B1B9A" w14:textId="77777777" w:rsidR="00A23B22" w:rsidRPr="009E0746" w:rsidRDefault="00000000">
      <w:pPr>
        <w:spacing w:after="120"/>
        <w:ind w:left="720" w:hanging="720"/>
        <w:jc w:val="both"/>
        <w:rPr>
          <w:lang w:val="en-US"/>
        </w:rPr>
      </w:pPr>
      <w:r w:rsidRPr="009E0746">
        <w:rPr>
          <w:color w:val="000000"/>
          <w:sz w:val="20"/>
          <w:szCs w:val="20"/>
          <w:lang w:val="en-US"/>
        </w:rPr>
        <w:t>Chalkidis, I., Androutsopoulos, I., y Aletras, N. (2019). Neural legal judgment prediction in English. Proceedings of ACL 2019, 4317–4323.</w:t>
      </w:r>
    </w:p>
    <w:p w14:paraId="382EA93B" w14:textId="77777777" w:rsidR="00A23B22" w:rsidRDefault="00000000">
      <w:pPr>
        <w:spacing w:after="120"/>
        <w:ind w:left="720" w:hanging="720"/>
        <w:jc w:val="both"/>
      </w:pPr>
      <w:r w:rsidRPr="009E0746">
        <w:rPr>
          <w:color w:val="000000"/>
          <w:sz w:val="20"/>
          <w:szCs w:val="20"/>
          <w:lang w:val="en-US"/>
        </w:rPr>
        <w:t xml:space="preserve">Chalkidis, I., Jana, A., Hartung, D., Bommarito, M., Androutsopoulos, I., Katz, D. M., y Aletras, N. (2022). LexGLUE: A benchmark dataset for legal language understanding in English. </w:t>
      </w:r>
      <w:proofErr w:type="spellStart"/>
      <w:r>
        <w:rPr>
          <w:color w:val="000000"/>
          <w:sz w:val="20"/>
          <w:szCs w:val="20"/>
        </w:rPr>
        <w:t>Proceedings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ACL 2022.</w:t>
      </w:r>
    </w:p>
    <w:p w14:paraId="711EFE71" w14:textId="77777777" w:rsidR="00A23B22" w:rsidRPr="009E0746" w:rsidRDefault="00000000">
      <w:pPr>
        <w:spacing w:after="120"/>
        <w:ind w:left="720" w:hanging="720"/>
        <w:jc w:val="both"/>
        <w:rPr>
          <w:lang w:val="en-US"/>
        </w:rPr>
      </w:pPr>
      <w:r>
        <w:rPr>
          <w:color w:val="000000"/>
          <w:sz w:val="20"/>
          <w:szCs w:val="20"/>
        </w:rPr>
        <w:t xml:space="preserve">CINEP/Programa por la Paz. (2020). Banco de datos de derechos humanos y violencia política. </w:t>
      </w:r>
      <w:r w:rsidRPr="009E0746">
        <w:rPr>
          <w:color w:val="000000"/>
          <w:sz w:val="20"/>
          <w:szCs w:val="20"/>
          <w:lang w:val="en-US"/>
        </w:rPr>
        <w:t>CINEP.</w:t>
      </w:r>
    </w:p>
    <w:p w14:paraId="4D14363A" w14:textId="77777777" w:rsidR="00A23B22" w:rsidRDefault="00000000">
      <w:pPr>
        <w:spacing w:after="120"/>
        <w:ind w:left="720" w:hanging="720"/>
        <w:jc w:val="both"/>
      </w:pPr>
      <w:r w:rsidRPr="009E0746">
        <w:rPr>
          <w:color w:val="000000"/>
          <w:sz w:val="20"/>
          <w:szCs w:val="20"/>
          <w:lang w:val="en-US"/>
        </w:rPr>
        <w:t xml:space="preserve">Clark, P. (2010). The Gacaca Courts, Post-Genocide Justice and Reconciliation in Rwanda. </w:t>
      </w:r>
      <w:r>
        <w:rPr>
          <w:color w:val="000000"/>
          <w:sz w:val="20"/>
          <w:szCs w:val="20"/>
        </w:rPr>
        <w:t xml:space="preserve">Cambridge University </w:t>
      </w:r>
      <w:proofErr w:type="spellStart"/>
      <w:r>
        <w:rPr>
          <w:color w:val="000000"/>
          <w:sz w:val="20"/>
          <w:szCs w:val="20"/>
        </w:rPr>
        <w:t>Press</w:t>
      </w:r>
      <w:proofErr w:type="spellEnd"/>
      <w:r>
        <w:rPr>
          <w:color w:val="000000"/>
          <w:sz w:val="20"/>
          <w:szCs w:val="20"/>
        </w:rPr>
        <w:t>.</w:t>
      </w:r>
    </w:p>
    <w:p w14:paraId="1B712E9B" w14:textId="77777777" w:rsidR="00A23B22" w:rsidRDefault="00000000">
      <w:pPr>
        <w:spacing w:after="120"/>
        <w:ind w:left="720" w:hanging="720"/>
        <w:jc w:val="both"/>
      </w:pPr>
      <w:r>
        <w:rPr>
          <w:color w:val="000000"/>
          <w:sz w:val="20"/>
          <w:szCs w:val="20"/>
        </w:rPr>
        <w:t>Comisión de la Verdad. (2022). Hay futuro si hay verdad: informe final. Comisión para el Esclarecimiento de la Verdad, la Convivencia y la No Repetición.</w:t>
      </w:r>
    </w:p>
    <w:p w14:paraId="6015BA7C" w14:textId="77777777" w:rsidR="00A23B22" w:rsidRPr="009E0746" w:rsidRDefault="00000000">
      <w:pPr>
        <w:spacing w:after="120"/>
        <w:ind w:left="720" w:hanging="720"/>
        <w:jc w:val="both"/>
        <w:rPr>
          <w:lang w:val="en-US"/>
        </w:rPr>
      </w:pPr>
      <w:r>
        <w:rPr>
          <w:color w:val="000000"/>
          <w:sz w:val="20"/>
          <w:szCs w:val="20"/>
        </w:rPr>
        <w:t xml:space="preserve">CNMH — Centro Nacional de Memoria Histórica. (2019). Mujeres y madres: Memorias de los falsos positivos. </w:t>
      </w:r>
      <w:r w:rsidRPr="009E0746">
        <w:rPr>
          <w:color w:val="000000"/>
          <w:sz w:val="20"/>
          <w:szCs w:val="20"/>
          <w:lang w:val="en-US"/>
        </w:rPr>
        <w:t>CNMH.</w:t>
      </w:r>
    </w:p>
    <w:p w14:paraId="3CA02082" w14:textId="77777777" w:rsidR="00A23B22" w:rsidRPr="009E0746" w:rsidRDefault="00000000">
      <w:pPr>
        <w:spacing w:after="120"/>
        <w:ind w:left="720" w:hanging="720"/>
        <w:jc w:val="both"/>
        <w:rPr>
          <w:lang w:val="en-US"/>
        </w:rPr>
      </w:pPr>
      <w:r w:rsidRPr="009E0746">
        <w:rPr>
          <w:color w:val="000000"/>
          <w:sz w:val="20"/>
          <w:szCs w:val="20"/>
          <w:lang w:val="en-US"/>
        </w:rPr>
        <w:t>Entman, R. M. (2010). Media framing biases and political power: Explaining slant in news of Campaign 2008. Journalism, 11(4), 389–408.</w:t>
      </w:r>
    </w:p>
    <w:p w14:paraId="660BDF8F" w14:textId="77777777" w:rsidR="00A23B22" w:rsidRPr="009E0746" w:rsidRDefault="00000000">
      <w:pPr>
        <w:spacing w:after="120"/>
        <w:ind w:left="720" w:hanging="720"/>
        <w:jc w:val="both"/>
        <w:rPr>
          <w:lang w:val="en-US"/>
        </w:rPr>
      </w:pPr>
      <w:r w:rsidRPr="009E0746">
        <w:rPr>
          <w:color w:val="000000"/>
          <w:sz w:val="20"/>
          <w:szCs w:val="20"/>
          <w:lang w:val="en-US"/>
        </w:rPr>
        <w:t>Fortuna, P. y Nunes, S. (2018). A survey on automatic detection of hate speech in text. ACM Computing Surveys, 51(4), 1–30.</w:t>
      </w:r>
    </w:p>
    <w:p w14:paraId="708C63F6" w14:textId="77777777" w:rsidR="00A23B22" w:rsidRPr="009E0746" w:rsidRDefault="00000000">
      <w:pPr>
        <w:spacing w:after="120"/>
        <w:ind w:left="720" w:hanging="720"/>
        <w:jc w:val="both"/>
        <w:rPr>
          <w:lang w:val="en-US"/>
        </w:rPr>
      </w:pPr>
      <w:r w:rsidRPr="009E0746">
        <w:rPr>
          <w:color w:val="000000"/>
          <w:sz w:val="20"/>
          <w:szCs w:val="20"/>
          <w:lang w:val="en-US"/>
        </w:rPr>
        <w:t>Forst, R. (2014). Justification and Critique: Towards a Critical Theory of Politics. Polity Press.</w:t>
      </w:r>
    </w:p>
    <w:p w14:paraId="54E3CD9A" w14:textId="77777777" w:rsidR="00A23B22" w:rsidRPr="009E0746" w:rsidRDefault="00000000">
      <w:pPr>
        <w:spacing w:after="120"/>
        <w:ind w:left="720" w:hanging="720"/>
        <w:jc w:val="both"/>
        <w:rPr>
          <w:lang w:val="en-US"/>
        </w:rPr>
      </w:pPr>
      <w:r w:rsidRPr="009E0746">
        <w:rPr>
          <w:color w:val="000000"/>
          <w:sz w:val="20"/>
          <w:szCs w:val="20"/>
          <w:lang w:val="en-US"/>
        </w:rPr>
        <w:t>Garg, N., Schiebinger, L., Jurafsky, D., y Zou, J. (2018). Word embeddings quantify 100 years of gender and ethnic stereotypes. PNAS, 115(16), E3635–E3644.</w:t>
      </w:r>
    </w:p>
    <w:p w14:paraId="425362E3" w14:textId="77777777" w:rsidR="00A23B22" w:rsidRPr="009E0746" w:rsidRDefault="00000000">
      <w:pPr>
        <w:spacing w:after="120"/>
        <w:ind w:left="720" w:hanging="720"/>
        <w:jc w:val="both"/>
        <w:rPr>
          <w:lang w:val="en-US"/>
        </w:rPr>
      </w:pPr>
      <w:r w:rsidRPr="009E0746">
        <w:rPr>
          <w:color w:val="000000"/>
          <w:sz w:val="20"/>
          <w:szCs w:val="20"/>
          <w:lang w:val="en-US"/>
        </w:rPr>
        <w:t>Habermas, J. (1984). The Theory of Communicative Action. Beacon Press.</w:t>
      </w:r>
    </w:p>
    <w:p w14:paraId="1405856B" w14:textId="77777777" w:rsidR="00A23B22" w:rsidRDefault="00000000">
      <w:pPr>
        <w:spacing w:after="120"/>
        <w:ind w:left="720" w:hanging="720"/>
        <w:jc w:val="both"/>
      </w:pPr>
      <w:r w:rsidRPr="009E0746">
        <w:rPr>
          <w:color w:val="000000"/>
          <w:sz w:val="20"/>
          <w:szCs w:val="20"/>
          <w:lang w:val="en-US"/>
        </w:rPr>
        <w:t xml:space="preserve">Human Rights Watch. </w:t>
      </w:r>
      <w:r>
        <w:rPr>
          <w:color w:val="000000"/>
          <w:sz w:val="20"/>
          <w:szCs w:val="20"/>
        </w:rPr>
        <w:t>(2015). El rol de los altos mandos en los falsos positivos. HRW.</w:t>
      </w:r>
    </w:p>
    <w:p w14:paraId="32DC2360" w14:textId="77777777" w:rsidR="00A23B22" w:rsidRPr="009E0746" w:rsidRDefault="00000000">
      <w:pPr>
        <w:spacing w:after="120"/>
        <w:ind w:left="720" w:hanging="720"/>
        <w:jc w:val="both"/>
        <w:rPr>
          <w:lang w:val="en-US"/>
        </w:rPr>
      </w:pPr>
      <w:r>
        <w:rPr>
          <w:color w:val="000000"/>
          <w:sz w:val="20"/>
          <w:szCs w:val="20"/>
        </w:rPr>
        <w:t xml:space="preserve">Human Rights Watch. (2020). Colombia: Un cuarto de siglo de reformas fallidas en los derechos humanos. </w:t>
      </w:r>
      <w:r w:rsidRPr="009E0746">
        <w:rPr>
          <w:color w:val="000000"/>
          <w:sz w:val="20"/>
          <w:szCs w:val="20"/>
          <w:lang w:val="en-US"/>
        </w:rPr>
        <w:t>HRW.</w:t>
      </w:r>
    </w:p>
    <w:p w14:paraId="4245FAFB" w14:textId="77777777" w:rsidR="00A23B22" w:rsidRPr="009E0746" w:rsidRDefault="00000000">
      <w:pPr>
        <w:spacing w:after="120"/>
        <w:ind w:left="720" w:hanging="720"/>
        <w:jc w:val="both"/>
        <w:rPr>
          <w:lang w:val="en-US"/>
        </w:rPr>
      </w:pPr>
      <w:r w:rsidRPr="009E0746">
        <w:rPr>
          <w:color w:val="000000"/>
          <w:sz w:val="20"/>
          <w:szCs w:val="20"/>
          <w:lang w:val="en-US"/>
        </w:rPr>
        <w:t>ICC — International Criminal Court. (2020). Colombia: Preliminary examination. ICC Office of the Prosecutor.</w:t>
      </w:r>
    </w:p>
    <w:p w14:paraId="11BA589C" w14:textId="77777777" w:rsidR="00A23B22" w:rsidRDefault="00000000">
      <w:pPr>
        <w:spacing w:after="120"/>
        <w:ind w:left="720" w:hanging="720"/>
        <w:jc w:val="both"/>
      </w:pPr>
      <w:r>
        <w:rPr>
          <w:color w:val="000000"/>
          <w:sz w:val="20"/>
          <w:szCs w:val="20"/>
        </w:rPr>
        <w:t>Jaramillo, J. (2021). El lenguaje de la verdad: análisis discursivo de las audiencias JEP del Macrocaso 003. Tesis de maestría, Universidad de los Andes.</w:t>
      </w:r>
    </w:p>
    <w:p w14:paraId="34E621F4" w14:textId="77777777" w:rsidR="00A23B22" w:rsidRDefault="00000000">
      <w:pPr>
        <w:spacing w:after="120"/>
        <w:ind w:left="720" w:hanging="720"/>
        <w:jc w:val="both"/>
      </w:pPr>
      <w:proofErr w:type="spellStart"/>
      <w:r>
        <w:rPr>
          <w:color w:val="000000"/>
          <w:sz w:val="20"/>
          <w:szCs w:val="20"/>
        </w:rPr>
        <w:t>Jelin</w:t>
      </w:r>
      <w:proofErr w:type="spellEnd"/>
      <w:r>
        <w:rPr>
          <w:color w:val="000000"/>
          <w:sz w:val="20"/>
          <w:szCs w:val="20"/>
        </w:rPr>
        <w:t>, E. (2002). Los trabajos de la memoria. Siglo XXI.</w:t>
      </w:r>
    </w:p>
    <w:p w14:paraId="7BB159D7" w14:textId="77777777" w:rsidR="00A23B22" w:rsidRDefault="00000000">
      <w:pPr>
        <w:spacing w:after="120"/>
        <w:ind w:left="720" w:hanging="720"/>
        <w:jc w:val="both"/>
      </w:pPr>
      <w:r>
        <w:rPr>
          <w:color w:val="000000"/>
          <w:sz w:val="20"/>
          <w:szCs w:val="20"/>
        </w:rPr>
        <w:lastRenderedPageBreak/>
        <w:t xml:space="preserve">JEP — Jurisdicción Especial para la Paz. (2021). Auto No. 125 de 2021 — Caso 03, </w:t>
      </w:r>
      <w:proofErr w:type="spellStart"/>
      <w:r>
        <w:rPr>
          <w:color w:val="000000"/>
          <w:sz w:val="20"/>
          <w:szCs w:val="20"/>
        </w:rPr>
        <w:t>Subcaso</w:t>
      </w:r>
      <w:proofErr w:type="spellEnd"/>
      <w:r>
        <w:rPr>
          <w:color w:val="000000"/>
          <w:sz w:val="20"/>
          <w:szCs w:val="20"/>
        </w:rPr>
        <w:t xml:space="preserve"> Norte de Santander.</w:t>
      </w:r>
    </w:p>
    <w:p w14:paraId="5DD082E4" w14:textId="77777777" w:rsidR="00A23B22" w:rsidRDefault="00000000">
      <w:pPr>
        <w:spacing w:after="120"/>
        <w:ind w:left="720" w:hanging="720"/>
        <w:jc w:val="both"/>
      </w:pPr>
      <w:r>
        <w:rPr>
          <w:color w:val="000000"/>
          <w:sz w:val="20"/>
          <w:szCs w:val="20"/>
        </w:rPr>
        <w:t>JEP — Jurisdicción Especial para la Paz. (2022). Resolución de Conclusiones No. 01 de 2022 — Caso 03.</w:t>
      </w:r>
    </w:p>
    <w:p w14:paraId="233A5359" w14:textId="77777777" w:rsidR="00A23B22" w:rsidRPr="009E0746" w:rsidRDefault="00000000">
      <w:pPr>
        <w:spacing w:after="120"/>
        <w:ind w:left="720" w:hanging="720"/>
        <w:jc w:val="both"/>
        <w:rPr>
          <w:lang w:val="en-US"/>
        </w:rPr>
      </w:pPr>
      <w:r w:rsidRPr="009E0746">
        <w:rPr>
          <w:color w:val="000000"/>
          <w:sz w:val="20"/>
          <w:szCs w:val="20"/>
          <w:lang w:val="en-US"/>
        </w:rPr>
        <w:t>Kline, R. B. (2023). Principles and Practice of Structural Equation Modeling (5.ª ed.). Guilford Press.</w:t>
      </w:r>
    </w:p>
    <w:p w14:paraId="0F9C541A" w14:textId="77777777" w:rsidR="00A23B22" w:rsidRPr="009E0746" w:rsidRDefault="00000000">
      <w:pPr>
        <w:spacing w:after="120"/>
        <w:ind w:left="720" w:hanging="720"/>
        <w:jc w:val="both"/>
        <w:rPr>
          <w:lang w:val="en-US"/>
        </w:rPr>
      </w:pPr>
      <w:r w:rsidRPr="009E0746">
        <w:rPr>
          <w:color w:val="000000"/>
          <w:sz w:val="20"/>
          <w:szCs w:val="20"/>
          <w:lang w:val="en-US"/>
        </w:rPr>
        <w:t>Kozlowski, A. C., Taddy, M., y Evans, J. A. (2019). The geometry of culture: Analyzing the meanings of class through word embeddings. American Sociological Review, 84(5), 905–949.</w:t>
      </w:r>
    </w:p>
    <w:p w14:paraId="7B5329F5" w14:textId="77777777" w:rsidR="00A23B22" w:rsidRPr="009E0746" w:rsidRDefault="00000000">
      <w:pPr>
        <w:spacing w:after="120"/>
        <w:ind w:left="720" w:hanging="720"/>
        <w:jc w:val="both"/>
        <w:rPr>
          <w:lang w:val="en-US"/>
        </w:rPr>
      </w:pPr>
      <w:r w:rsidRPr="009E0746">
        <w:rPr>
          <w:color w:val="000000"/>
          <w:sz w:val="20"/>
          <w:szCs w:val="20"/>
          <w:lang w:val="en-US"/>
        </w:rPr>
        <w:t>Lafont, C. (1999). The Linguistic Turn in Hermeneutic Philosophy. MIT Press.</w:t>
      </w:r>
    </w:p>
    <w:p w14:paraId="407D84E7" w14:textId="77777777" w:rsidR="00A23B22" w:rsidRPr="009E0746" w:rsidRDefault="00000000">
      <w:pPr>
        <w:spacing w:after="120"/>
        <w:ind w:left="720" w:hanging="720"/>
        <w:jc w:val="both"/>
        <w:rPr>
          <w:lang w:val="en-US"/>
        </w:rPr>
      </w:pPr>
      <w:r w:rsidRPr="009E0746">
        <w:rPr>
          <w:color w:val="000000"/>
          <w:sz w:val="20"/>
          <w:szCs w:val="20"/>
          <w:lang w:val="en-US"/>
        </w:rPr>
        <w:t>Lippi, M. y Torroni, P. (2016). Argumentation mining: State of the art and emerging trends. ACM Transactions on Internet Technology, 16(2), 1–25.</w:t>
      </w:r>
    </w:p>
    <w:p w14:paraId="2A607726" w14:textId="77777777" w:rsidR="00A23B22" w:rsidRPr="009E0746" w:rsidRDefault="00000000">
      <w:pPr>
        <w:spacing w:after="120"/>
        <w:ind w:left="720" w:hanging="720"/>
        <w:jc w:val="both"/>
        <w:rPr>
          <w:lang w:val="en-US"/>
        </w:rPr>
      </w:pPr>
      <w:r w:rsidRPr="009E0746">
        <w:rPr>
          <w:color w:val="000000"/>
          <w:sz w:val="20"/>
          <w:szCs w:val="20"/>
          <w:lang w:val="en-US"/>
        </w:rPr>
        <w:t>Mamdani, M. (1996). Reconciliation without Justice. Southern African Review of Books.</w:t>
      </w:r>
    </w:p>
    <w:p w14:paraId="51C7AF7D" w14:textId="77777777" w:rsidR="00A23B22" w:rsidRPr="009E0746" w:rsidRDefault="00000000">
      <w:pPr>
        <w:spacing w:after="120"/>
        <w:ind w:left="720" w:hanging="720"/>
        <w:jc w:val="both"/>
        <w:rPr>
          <w:lang w:val="en-US"/>
        </w:rPr>
      </w:pPr>
      <w:r w:rsidRPr="009E0746">
        <w:rPr>
          <w:color w:val="000000"/>
          <w:sz w:val="20"/>
          <w:szCs w:val="20"/>
          <w:lang w:val="en-US"/>
        </w:rPr>
        <w:t>Medvedeva, M., Vols, M., y Wieling, M. (2020). Using machine learning to predict decisions of the European Court of Human Rights. Artificial Intelligence and Law, 28(2), 237–266.</w:t>
      </w:r>
    </w:p>
    <w:p w14:paraId="74A44192" w14:textId="77777777" w:rsidR="00A23B22" w:rsidRDefault="00000000">
      <w:pPr>
        <w:spacing w:after="120"/>
        <w:ind w:left="720" w:hanging="720"/>
        <w:jc w:val="both"/>
      </w:pPr>
      <w:r w:rsidRPr="009E0746">
        <w:rPr>
          <w:color w:val="000000"/>
          <w:sz w:val="20"/>
          <w:szCs w:val="20"/>
          <w:lang w:val="en-US"/>
        </w:rPr>
        <w:t xml:space="preserve">Niklaus, J., Chalkidis, I., y Stürmer, M. (2022). Swiss-Judgment-Prediction: A multilingual legal judgment prediction benchmark. </w:t>
      </w:r>
      <w:proofErr w:type="spellStart"/>
      <w:r>
        <w:rPr>
          <w:color w:val="000000"/>
          <w:sz w:val="20"/>
          <w:szCs w:val="20"/>
        </w:rPr>
        <w:t>Proceedings</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NLLP Workshop 2022.</w:t>
      </w:r>
    </w:p>
    <w:p w14:paraId="5C748535" w14:textId="77777777" w:rsidR="00A23B22" w:rsidRDefault="00000000">
      <w:pPr>
        <w:spacing w:after="120"/>
        <w:ind w:left="720" w:hanging="720"/>
        <w:jc w:val="both"/>
      </w:pPr>
      <w:r>
        <w:rPr>
          <w:color w:val="000000"/>
          <w:sz w:val="20"/>
          <w:szCs w:val="20"/>
        </w:rPr>
        <w:t>OACNUDH. (2007). Informe anual sobre la situación de los derechos humanos en Colombia. Oficina del Alto Comisionado de las Naciones Unidas para los Derechos Humanos.</w:t>
      </w:r>
    </w:p>
    <w:p w14:paraId="7D27362A" w14:textId="77777777" w:rsidR="00A23B22" w:rsidRPr="009E0746" w:rsidRDefault="00000000">
      <w:pPr>
        <w:spacing w:after="120"/>
        <w:ind w:left="720" w:hanging="720"/>
        <w:jc w:val="both"/>
        <w:rPr>
          <w:lang w:val="en-US"/>
        </w:rPr>
      </w:pPr>
      <w:r>
        <w:rPr>
          <w:color w:val="000000"/>
          <w:sz w:val="20"/>
          <w:szCs w:val="20"/>
        </w:rPr>
        <w:t xml:space="preserve">OACNUDH. (2010). Informe del Relator Especial sobre ejecuciones extrajudiciales, sumarias o arbitrarias: misión a Colombia. </w:t>
      </w:r>
      <w:r w:rsidRPr="009E0746">
        <w:rPr>
          <w:color w:val="000000"/>
          <w:sz w:val="20"/>
          <w:szCs w:val="20"/>
          <w:lang w:val="en-US"/>
        </w:rPr>
        <w:t>A/HRC/14/24/Add.2.</w:t>
      </w:r>
    </w:p>
    <w:p w14:paraId="6455E962" w14:textId="77777777" w:rsidR="00A23B22" w:rsidRPr="009E0746" w:rsidRDefault="00000000">
      <w:pPr>
        <w:spacing w:after="120"/>
        <w:ind w:left="720" w:hanging="720"/>
        <w:jc w:val="both"/>
        <w:rPr>
          <w:lang w:val="en-US"/>
        </w:rPr>
      </w:pPr>
      <w:r w:rsidRPr="009E0746">
        <w:rPr>
          <w:color w:val="000000"/>
          <w:sz w:val="20"/>
          <w:szCs w:val="20"/>
          <w:lang w:val="en-US"/>
        </w:rPr>
        <w:t>Rheault, L. y Cochrane, C. (2020). Word embeddings in the social sciences: An introduction to computational text analysis for political scientists. American Political Science Review, 114(4), 1067–1078.</w:t>
      </w:r>
    </w:p>
    <w:p w14:paraId="4EE745D1" w14:textId="77777777" w:rsidR="00A23B22" w:rsidRDefault="00000000">
      <w:pPr>
        <w:spacing w:after="120"/>
        <w:ind w:left="720" w:hanging="720"/>
        <w:jc w:val="both"/>
      </w:pPr>
      <w:r w:rsidRPr="009E0746">
        <w:rPr>
          <w:color w:val="000000"/>
          <w:sz w:val="20"/>
          <w:szCs w:val="20"/>
          <w:lang w:val="en-US"/>
        </w:rPr>
        <w:t xml:space="preserve">Searle, J. R. (1969). Speech Acts: An Essay in the Philosophy of Language. </w:t>
      </w:r>
      <w:r>
        <w:rPr>
          <w:color w:val="000000"/>
          <w:sz w:val="20"/>
          <w:szCs w:val="20"/>
        </w:rPr>
        <w:t xml:space="preserve">Cambridge University </w:t>
      </w:r>
      <w:proofErr w:type="spellStart"/>
      <w:r>
        <w:rPr>
          <w:color w:val="000000"/>
          <w:sz w:val="20"/>
          <w:szCs w:val="20"/>
        </w:rPr>
        <w:t>Press</w:t>
      </w:r>
      <w:proofErr w:type="spellEnd"/>
      <w:r>
        <w:rPr>
          <w:color w:val="000000"/>
          <w:sz w:val="20"/>
          <w:szCs w:val="20"/>
        </w:rPr>
        <w:t>.</w:t>
      </w:r>
    </w:p>
    <w:p w14:paraId="196E4E60" w14:textId="77777777" w:rsidR="00A23B22" w:rsidRDefault="00000000">
      <w:pPr>
        <w:spacing w:after="120"/>
        <w:ind w:left="720" w:hanging="720"/>
        <w:jc w:val="both"/>
      </w:pPr>
      <w:r>
        <w:rPr>
          <w:color w:val="000000"/>
          <w:sz w:val="20"/>
          <w:szCs w:val="20"/>
        </w:rPr>
        <w:t xml:space="preserve">Sosa, J., Rodríguez, M., y Gómez, C. (2025). Análisis de sentimientos en las audiencias de reconocimiento JEP — Macrocaso 003. </w:t>
      </w:r>
      <w:proofErr w:type="spellStart"/>
      <w:r>
        <w:rPr>
          <w:color w:val="000000"/>
          <w:sz w:val="20"/>
          <w:szCs w:val="20"/>
        </w:rPr>
        <w:t>Proceedings</w:t>
      </w:r>
      <w:proofErr w:type="spellEnd"/>
      <w:r>
        <w:rPr>
          <w:color w:val="000000"/>
          <w:sz w:val="20"/>
          <w:szCs w:val="20"/>
        </w:rPr>
        <w:t xml:space="preserve"> del Simposio Iberoamericano de Inteligencia Artificial 2025.</w:t>
      </w:r>
    </w:p>
    <w:p w14:paraId="37C17E7C" w14:textId="77777777" w:rsidR="00A23B22" w:rsidRPr="009E0746" w:rsidRDefault="00000000">
      <w:pPr>
        <w:spacing w:after="120"/>
        <w:ind w:left="720" w:hanging="720"/>
        <w:jc w:val="both"/>
        <w:rPr>
          <w:lang w:val="en-US"/>
        </w:rPr>
      </w:pPr>
      <w:r>
        <w:rPr>
          <w:color w:val="000000"/>
          <w:sz w:val="20"/>
          <w:szCs w:val="20"/>
        </w:rPr>
        <w:t xml:space="preserve">van Dijk, T. A. (2008). </w:t>
      </w:r>
      <w:r w:rsidRPr="009E0746">
        <w:rPr>
          <w:color w:val="000000"/>
          <w:sz w:val="20"/>
          <w:szCs w:val="20"/>
          <w:lang w:val="en-US"/>
        </w:rPr>
        <w:t>Discourse and Power. Palgrave Macmillan.</w:t>
      </w:r>
    </w:p>
    <w:p w14:paraId="151E2B13" w14:textId="77777777" w:rsidR="00A23B22" w:rsidRPr="009E0746" w:rsidRDefault="00000000">
      <w:pPr>
        <w:spacing w:after="120"/>
        <w:ind w:left="720" w:hanging="720"/>
        <w:jc w:val="both"/>
        <w:rPr>
          <w:lang w:val="en-US"/>
        </w:rPr>
      </w:pPr>
      <w:r>
        <w:rPr>
          <w:color w:val="000000"/>
          <w:sz w:val="20"/>
          <w:szCs w:val="20"/>
        </w:rPr>
        <w:t xml:space="preserve">Vandenberg, R. J. y Lance, C. E. (2000). </w:t>
      </w:r>
      <w:r w:rsidRPr="009E0746">
        <w:rPr>
          <w:color w:val="000000"/>
          <w:sz w:val="20"/>
          <w:szCs w:val="20"/>
          <w:lang w:val="en-US"/>
        </w:rPr>
        <w:t>A review and synthesis of the measurement invariance literature. Organizational Research Methods, 3(1), 4–70.</w:t>
      </w:r>
    </w:p>
    <w:p w14:paraId="41672B14" w14:textId="77777777" w:rsidR="00A23B22" w:rsidRDefault="00000000">
      <w:pPr>
        <w:spacing w:after="120"/>
        <w:ind w:left="720" w:hanging="720"/>
        <w:jc w:val="both"/>
      </w:pPr>
      <w:r w:rsidRPr="009E0746">
        <w:rPr>
          <w:color w:val="000000"/>
          <w:sz w:val="20"/>
          <w:szCs w:val="20"/>
          <w:lang w:val="en-US"/>
        </w:rPr>
        <w:t xml:space="preserve">Wodak, R. (2015). The Politics of Fear: What Right-Wing Populist Discourses Mean. </w:t>
      </w:r>
      <w:r>
        <w:rPr>
          <w:color w:val="000000"/>
          <w:sz w:val="20"/>
          <w:szCs w:val="20"/>
        </w:rPr>
        <w:t>SAGE.</w:t>
      </w:r>
    </w:p>
    <w:p w14:paraId="2DEC7A6E" w14:textId="77777777" w:rsidR="00A23B22" w:rsidRPr="009E0746" w:rsidRDefault="00000000">
      <w:pPr>
        <w:spacing w:after="120"/>
        <w:ind w:left="720" w:hanging="720"/>
        <w:jc w:val="both"/>
        <w:rPr>
          <w:lang w:val="en-US"/>
        </w:rPr>
      </w:pPr>
      <w:r>
        <w:rPr>
          <w:color w:val="000000"/>
          <w:sz w:val="20"/>
          <w:szCs w:val="20"/>
        </w:rPr>
        <w:t xml:space="preserve">Yang, W., </w:t>
      </w:r>
      <w:proofErr w:type="spellStart"/>
      <w:r>
        <w:rPr>
          <w:color w:val="000000"/>
          <w:sz w:val="20"/>
          <w:szCs w:val="20"/>
        </w:rPr>
        <w:t>Salam</w:t>
      </w:r>
      <w:proofErr w:type="spellEnd"/>
      <w:r>
        <w:rPr>
          <w:color w:val="000000"/>
          <w:sz w:val="20"/>
          <w:szCs w:val="20"/>
        </w:rPr>
        <w:t xml:space="preserve">, M. A., </w:t>
      </w:r>
      <w:proofErr w:type="spellStart"/>
      <w:r>
        <w:rPr>
          <w:color w:val="000000"/>
          <w:sz w:val="20"/>
          <w:szCs w:val="20"/>
        </w:rPr>
        <w:t>Alhelbawy</w:t>
      </w:r>
      <w:proofErr w:type="spellEnd"/>
      <w:r>
        <w:rPr>
          <w:color w:val="000000"/>
          <w:sz w:val="20"/>
          <w:szCs w:val="20"/>
        </w:rPr>
        <w:t>, A., El-</w:t>
      </w:r>
      <w:proofErr w:type="spellStart"/>
      <w:r>
        <w:rPr>
          <w:color w:val="000000"/>
          <w:sz w:val="20"/>
          <w:szCs w:val="20"/>
        </w:rPr>
        <w:t>Beltagy</w:t>
      </w:r>
      <w:proofErr w:type="spellEnd"/>
      <w:r>
        <w:rPr>
          <w:color w:val="000000"/>
          <w:sz w:val="20"/>
          <w:szCs w:val="20"/>
        </w:rPr>
        <w:t xml:space="preserve">, S., y Zubiaga, A. (2023). </w:t>
      </w:r>
      <w:r w:rsidRPr="009E0746">
        <w:rPr>
          <w:color w:val="000000"/>
          <w:sz w:val="20"/>
          <w:szCs w:val="20"/>
          <w:lang w:val="en-US"/>
        </w:rPr>
        <w:t>ConfliBERT: A Pre-trained Language Model for Political Conflict and Violence. IEEE CiSt 2023.</w:t>
      </w:r>
    </w:p>
    <w:p w14:paraId="64219178" w14:textId="77777777" w:rsidR="00A23B22" w:rsidRPr="009E0746" w:rsidRDefault="00000000">
      <w:pPr>
        <w:spacing w:after="120"/>
        <w:ind w:left="720" w:hanging="720"/>
        <w:jc w:val="both"/>
        <w:rPr>
          <w:lang w:val="en-US"/>
        </w:rPr>
      </w:pPr>
      <w:r w:rsidRPr="009E0746">
        <w:rPr>
          <w:color w:val="000000"/>
          <w:sz w:val="20"/>
          <w:szCs w:val="20"/>
          <w:lang w:val="en-US"/>
        </w:rPr>
        <w:t>Zehr, H. (2002). The Little Book of Restorative Justice. Good Books.</w:t>
      </w:r>
    </w:p>
    <w:p w14:paraId="76D69BAE" w14:textId="77777777" w:rsidR="00A23B22" w:rsidRPr="009E0746" w:rsidRDefault="00000000">
      <w:pPr>
        <w:spacing w:after="120"/>
        <w:ind w:left="720" w:hanging="720"/>
        <w:jc w:val="both"/>
        <w:rPr>
          <w:lang w:val="en-US"/>
        </w:rPr>
      </w:pPr>
      <w:r w:rsidRPr="009E0746">
        <w:rPr>
          <w:color w:val="000000"/>
          <w:sz w:val="20"/>
          <w:szCs w:val="20"/>
          <w:lang w:val="en-US"/>
        </w:rPr>
        <w:t>Zhong, H., Wang, Y., Tu, C., Zhang, T., Liu, Z., y Sun, M. (2020). Iteratively questioning and answering for interpretable legal judgment prediction. Proceedings of AAAI 2020.</w:t>
      </w:r>
    </w:p>
    <w:sectPr w:rsidR="00A23B22" w:rsidRPr="009E0746">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F0FEC" w14:textId="77777777" w:rsidR="00DC6506" w:rsidRDefault="00DC6506">
      <w:r>
        <w:separator/>
      </w:r>
    </w:p>
  </w:endnote>
  <w:endnote w:type="continuationSeparator" w:id="0">
    <w:p w14:paraId="15156641" w14:textId="77777777" w:rsidR="00DC6506" w:rsidRDefault="00DC6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912C9" w14:textId="77777777" w:rsidR="00A23B22" w:rsidRDefault="00000000">
    <w:pPr>
      <w:jc w:val="center"/>
    </w:pPr>
    <w:r>
      <w:fldChar w:fldCharType="begin"/>
    </w:r>
    <w:r>
      <w:instrText>PAGE</w:instrText>
    </w:r>
    <w:r>
      <w:fldChar w:fldCharType="separate"/>
    </w:r>
    <w:r w:rsidR="009E07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251D7" w14:textId="77777777" w:rsidR="00DC6506" w:rsidRDefault="00DC6506">
      <w:r>
        <w:separator/>
      </w:r>
    </w:p>
  </w:footnote>
  <w:footnote w:type="continuationSeparator" w:id="0">
    <w:p w14:paraId="24219E9F" w14:textId="77777777" w:rsidR="00DC6506" w:rsidRDefault="00DC6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AC603" w14:textId="77777777" w:rsidR="00A23B22"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4556D6"/>
    <w:multiLevelType w:val="hybridMultilevel"/>
    <w:tmpl w:val="4D424860"/>
    <w:lvl w:ilvl="0" w:tplc="F9F02F8C">
      <w:start w:val="1"/>
      <w:numFmt w:val="bullet"/>
      <w:lvlText w:val="●"/>
      <w:lvlJc w:val="left"/>
      <w:pPr>
        <w:ind w:left="720" w:hanging="360"/>
      </w:pPr>
    </w:lvl>
    <w:lvl w:ilvl="1" w:tplc="96AE1668">
      <w:start w:val="1"/>
      <w:numFmt w:val="bullet"/>
      <w:lvlText w:val="○"/>
      <w:lvlJc w:val="left"/>
      <w:pPr>
        <w:ind w:left="1440" w:hanging="360"/>
      </w:pPr>
    </w:lvl>
    <w:lvl w:ilvl="2" w:tplc="EFDC934E">
      <w:start w:val="1"/>
      <w:numFmt w:val="bullet"/>
      <w:lvlText w:val="■"/>
      <w:lvlJc w:val="left"/>
      <w:pPr>
        <w:ind w:left="2160" w:hanging="360"/>
      </w:pPr>
    </w:lvl>
    <w:lvl w:ilvl="3" w:tplc="C130EBEC">
      <w:start w:val="1"/>
      <w:numFmt w:val="bullet"/>
      <w:lvlText w:val="●"/>
      <w:lvlJc w:val="left"/>
      <w:pPr>
        <w:ind w:left="2880" w:hanging="360"/>
      </w:pPr>
    </w:lvl>
    <w:lvl w:ilvl="4" w:tplc="3AFE8028">
      <w:start w:val="1"/>
      <w:numFmt w:val="bullet"/>
      <w:lvlText w:val="○"/>
      <w:lvlJc w:val="left"/>
      <w:pPr>
        <w:ind w:left="3600" w:hanging="360"/>
      </w:pPr>
    </w:lvl>
    <w:lvl w:ilvl="5" w:tplc="0ED07CBA">
      <w:start w:val="1"/>
      <w:numFmt w:val="bullet"/>
      <w:lvlText w:val="■"/>
      <w:lvlJc w:val="left"/>
      <w:pPr>
        <w:ind w:left="4320" w:hanging="360"/>
      </w:pPr>
    </w:lvl>
    <w:lvl w:ilvl="6" w:tplc="7E7E30B6">
      <w:start w:val="1"/>
      <w:numFmt w:val="bullet"/>
      <w:lvlText w:val="●"/>
      <w:lvlJc w:val="left"/>
      <w:pPr>
        <w:ind w:left="5040" w:hanging="360"/>
      </w:pPr>
    </w:lvl>
    <w:lvl w:ilvl="7" w:tplc="2B70AE14">
      <w:start w:val="1"/>
      <w:numFmt w:val="bullet"/>
      <w:lvlText w:val="●"/>
      <w:lvlJc w:val="left"/>
      <w:pPr>
        <w:ind w:left="5760" w:hanging="360"/>
      </w:pPr>
    </w:lvl>
    <w:lvl w:ilvl="8" w:tplc="ADE6CCEA">
      <w:start w:val="1"/>
      <w:numFmt w:val="bullet"/>
      <w:lvlText w:val="●"/>
      <w:lvlJc w:val="left"/>
      <w:pPr>
        <w:ind w:left="6480" w:hanging="360"/>
      </w:pPr>
    </w:lvl>
  </w:abstractNum>
  <w:abstractNum w:abstractNumId="1" w15:restartNumberingAfterBreak="0">
    <w:nsid w:val="7BFB1A3D"/>
    <w:multiLevelType w:val="hybridMultilevel"/>
    <w:tmpl w:val="AD9474A0"/>
    <w:lvl w:ilvl="0" w:tplc="B6B02E58">
      <w:start w:val="1"/>
      <w:numFmt w:val="bullet"/>
      <w:lvlText w:val="•"/>
      <w:lvlJc w:val="left"/>
      <w:pPr>
        <w:ind w:left="720" w:hanging="360"/>
      </w:pPr>
    </w:lvl>
    <w:lvl w:ilvl="1" w:tplc="608A1040">
      <w:numFmt w:val="decimal"/>
      <w:lvlText w:val=""/>
      <w:lvlJc w:val="left"/>
    </w:lvl>
    <w:lvl w:ilvl="2" w:tplc="D92C12EA">
      <w:numFmt w:val="decimal"/>
      <w:lvlText w:val=""/>
      <w:lvlJc w:val="left"/>
    </w:lvl>
    <w:lvl w:ilvl="3" w:tplc="EFDEDF6C">
      <w:numFmt w:val="decimal"/>
      <w:lvlText w:val=""/>
      <w:lvlJc w:val="left"/>
    </w:lvl>
    <w:lvl w:ilvl="4" w:tplc="BC20BC90">
      <w:numFmt w:val="decimal"/>
      <w:lvlText w:val=""/>
      <w:lvlJc w:val="left"/>
    </w:lvl>
    <w:lvl w:ilvl="5" w:tplc="7BAE295A">
      <w:numFmt w:val="decimal"/>
      <w:lvlText w:val=""/>
      <w:lvlJc w:val="left"/>
    </w:lvl>
    <w:lvl w:ilvl="6" w:tplc="D3E44FEA">
      <w:numFmt w:val="decimal"/>
      <w:lvlText w:val=""/>
      <w:lvlJc w:val="left"/>
    </w:lvl>
    <w:lvl w:ilvl="7" w:tplc="47C849E6">
      <w:numFmt w:val="decimal"/>
      <w:lvlText w:val=""/>
      <w:lvlJc w:val="left"/>
    </w:lvl>
    <w:lvl w:ilvl="8" w:tplc="863E660E">
      <w:numFmt w:val="decimal"/>
      <w:lvlText w:val=""/>
      <w:lvlJc w:val="left"/>
    </w:lvl>
  </w:abstractNum>
  <w:num w:numId="1" w16cid:durableId="406197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B22"/>
    <w:rsid w:val="009E0746"/>
    <w:rsid w:val="00A23B22"/>
    <w:rsid w:val="00DC65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4C9A"/>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4176</Words>
  <Characters>22968</Characters>
  <Application>Microsoft Office Word</Application>
  <DocSecurity>0</DocSecurity>
  <Lines>191</Lines>
  <Paragraphs>54</Paragraphs>
  <ScaleCrop>false</ScaleCrop>
  <Company/>
  <LinksUpToDate>false</LinksUpToDate>
  <CharactersWithSpaces>27090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2026-04-04T00:47:00Z</dcterms:created>
  <dcterms:modified xsi:type="dcterms:W3CDTF">2026-04-04T00:47:00Z</dcterms:modified>
</cp:coreProperties>
</file>