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4B29A" w14:textId="77777777" w:rsidR="001E0183" w:rsidRDefault="00000000">
      <w:pPr>
        <w:pStyle w:val="Ttulo1"/>
      </w:pPr>
      <w:r>
        <w:t>3. Marco teórico</w:t>
      </w:r>
    </w:p>
    <w:p w14:paraId="51F462BC" w14:textId="77777777" w:rsidR="001E0183" w:rsidRDefault="00000000">
      <w:pPr>
        <w:spacing w:after="200" w:line="360" w:lineRule="auto"/>
        <w:ind w:firstLine="720"/>
        <w:jc w:val="both"/>
      </w:pPr>
      <w:r>
        <w:rPr>
          <w:color w:val="000000"/>
        </w:rPr>
        <w:t>Este capítulo desarrolla los fundamentos conceptuales que sostienen la Hermenéutica Forense Computacional (CFH). El marco teórico se articula en tres niveles: un nivel filosófico-político, que recupera las teorías de la violencia cultural (Galtung, 1990) y la justicia como reconocimiento (Fraser, 1995) para caracterizar el tipo de daño que produce el lenguaje judicial sobre las víctimas de los falsos positivos; un nivel semiótico-discursivo, que describe los mecanismos lingüísticos específicos mediante los cuales opera esa violencia; y un nivel formal-computacional, que operacionaliza esos mecanismos como variables medibles en un modelo de ecuaciones estructurales.</w:t>
      </w:r>
    </w:p>
    <w:p w14:paraId="277CA742" w14:textId="77777777" w:rsidR="001E0183" w:rsidRDefault="00000000">
      <w:pPr>
        <w:spacing w:after="200" w:line="360" w:lineRule="auto"/>
        <w:ind w:firstLine="720"/>
        <w:jc w:val="both"/>
      </w:pPr>
      <w:r>
        <w:rPr>
          <w:color w:val="000000"/>
        </w:rPr>
        <w:t>La articulación de estos tres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w:t>
      </w:r>
    </w:p>
    <w:p w14:paraId="74295B1A" w14:textId="77777777" w:rsidR="001E0183" w:rsidRDefault="001E0183">
      <w:pPr>
        <w:spacing w:after="120"/>
      </w:pPr>
    </w:p>
    <w:p w14:paraId="7198E343" w14:textId="77777777" w:rsidR="001E0183" w:rsidRDefault="00000000">
      <w:pPr>
        <w:pStyle w:val="Ttulo2"/>
      </w:pPr>
      <w:r>
        <w:t>3.1 Violencia cultural y lenguaje institucional: el marco de Galtung</w:t>
      </w:r>
    </w:p>
    <w:p w14:paraId="1153740F" w14:textId="77777777" w:rsidR="001E0183" w:rsidRDefault="00000000">
      <w:pPr>
        <w:spacing w:after="200" w:line="360" w:lineRule="auto"/>
        <w:ind w:firstLine="720"/>
        <w:jc w:val="both"/>
      </w:pPr>
      <w:r>
        <w:rPr>
          <w:color w:val="000000"/>
        </w:rPr>
        <w:t>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 Esta distinción tripartita es el punto de partida conceptual de esta tesis.</w:t>
      </w:r>
    </w:p>
    <w:p w14:paraId="49981A85" w14:textId="77777777" w:rsidR="001E0183" w:rsidRDefault="00000000">
      <w:pPr>
        <w:spacing w:after="200" w:line="360" w:lineRule="auto"/>
        <w:ind w:firstLine="720"/>
        <w:jc w:val="both"/>
      </w:pPr>
      <w:r>
        <w:rPr>
          <w:color w:val="000000"/>
        </w:rPr>
        <w:t xml:space="preserve">En el contexto de los falsos positivos colombianos, las tres formas de violencia operaron de manera articulada. La violencia directa fue el asesinato de civiles. La violencia estructural fue el sistema de incentivos institucionales —la </w:t>
      </w:r>
      <w:r>
        <w:rPr>
          <w:color w:val="000000"/>
        </w:rPr>
        <w:lastRenderedPageBreak/>
        <w:t>«política de cuerpos», la presión por resultados operacionales, las recompensas por bajas— que creó las condiciones para que el asesinato sistemático de civiles fuera posible y rentable para los perpetradores (Human Rights Watch, 2015). La violencia cultural fue el sistema lingüístico que permitió que esas muertes fueran descritas, registradas, archivadas y juzgadas con un lenguaje que las presentaba como acción militar legítima.</w:t>
      </w:r>
    </w:p>
    <w:p w14:paraId="6B3E4D8F" w14:textId="77777777" w:rsidR="001E0183" w:rsidRDefault="00000000">
      <w:pPr>
        <w:spacing w:after="200" w:line="360" w:lineRule="auto"/>
        <w:ind w:firstLine="720"/>
        <w:jc w:val="both"/>
      </w:pPr>
      <w:r>
        <w:rPr>
          <w:color w:val="000000"/>
        </w:rPr>
        <w:t>Lo que esta tesis denomina ingeniería burocrática del lenguaje —retomando el concepto del estado del arte— es, en términos de Galtung, una forma específica de violencia cultural: la producción sistemática e institucionalizada de un vocabulario que hace la violencia directa «invisible, impercibida, o aparente natural» (Galtung, 1990, p. 292). Cuando un formulario de reporte militar describe el asesinato de Fair Leonardo Porras Bernal como «resultado operacional positivo», no está simplemente usando una jerga técnica: está produciendo la invisibilización discursiva de un homicidio. Cuando un expediente judicial reproduce esa denominación sin cuestionarla, la institucionaliza. Cuando una sentencia la incorpora sin corrección, la juridifica. La violencia cultural, en este caso, opera a través del archivo.</w:t>
      </w:r>
    </w:p>
    <w:p w14:paraId="503260B5" w14:textId="77777777" w:rsidR="001E0183" w:rsidRDefault="00000000">
      <w:pPr>
        <w:spacing w:after="200" w:line="360" w:lineRule="auto"/>
        <w:ind w:firstLine="720"/>
        <w:jc w:val="both"/>
      </w:pPr>
      <w:r>
        <w:rPr>
          <w:color w:val="000000"/>
        </w:rPr>
        <w:t xml:space="preserve">Galtung identifica el lenguaje como uno de los vehículos primarios de la violencia cultural porque tiene la capacidad de naturalizar lo que es construido y de invisibilizar lo que es violento. El concepto de </w:t>
      </w:r>
      <w:r>
        <w:rPr>
          <w:i/>
          <w:iCs/>
          <w:color w:val="000000"/>
        </w:rPr>
        <w:t>eufemismo</w:t>
      </w:r>
      <w:r>
        <w:rPr>
          <w:color w:val="000000"/>
        </w:rPr>
        <w:t xml:space="preserve"> es central en esta operación: un eufemismo no es simplemente una palabra más suave, sino una palabra que desplaza el referente hacia un marco semántico diferente. «Dado de baja» no suaviza la muerte de un civil —la reencuadra como la muerte de un enemigo. «Resultado operacional» no describe un hecho —lo transforma en un logro. Esta reencuadración no es inocente: produce efectos jurídicos, políticos y epistémicos reales.</w:t>
      </w:r>
    </w:p>
    <w:p w14:paraId="37B4E00A" w14:textId="4F0C3739" w:rsidR="001E0183" w:rsidRDefault="00000000">
      <w:pPr>
        <w:spacing w:after="200" w:line="360" w:lineRule="auto"/>
        <w:ind w:firstLine="720"/>
        <w:jc w:val="both"/>
      </w:pPr>
      <w:r>
        <w:rPr>
          <w:color w:val="000000"/>
        </w:rPr>
        <w:t xml:space="preserve">Para los propósitos de esta investigación, la violencia cultural lingüística se operacionaliza a través de tres mecanismos discursivos que corresponden a los </w:t>
      </w:r>
      <w:r>
        <w:rPr>
          <w:color w:val="000000"/>
        </w:rPr>
        <w:lastRenderedPageBreak/>
        <w:t>indicadores del modelo SEM: el Eufemismo Bélico-Institucional (EBI), que opera sobre el vocabulario; la Supresión de Agentividad (SA</w:t>
      </w:r>
      <w:r w:rsidR="00391810">
        <w:rPr>
          <w:color w:val="000000"/>
        </w:rPr>
        <w:t xml:space="preserve"> se refiere a la falta de agente responsable</w:t>
      </w:r>
      <w:r>
        <w:rPr>
          <w:color w:val="000000"/>
        </w:rPr>
        <w:t>), que opera sobre la gramática; y la Negación de Victimización (NV), que opera sobre la identidad atribuida a las personas asesinadas. Estos tres mecanismos son las manifestaciones computacionalmente detectables de la violencia cultural en el corpus judicial.</w:t>
      </w:r>
    </w:p>
    <w:p w14:paraId="3103A2C5" w14:textId="77777777" w:rsidR="001E0183" w:rsidRDefault="001E0183">
      <w:pPr>
        <w:spacing w:after="120"/>
      </w:pPr>
    </w:p>
    <w:p w14:paraId="73882FD0" w14:textId="77777777" w:rsidR="001E0183" w:rsidRDefault="00000000">
      <w:pPr>
        <w:pStyle w:val="Ttulo2"/>
      </w:pPr>
      <w:r>
        <w:t>3.2 Justicia como reconocimiento: el marco de Fraser</w:t>
      </w:r>
    </w:p>
    <w:p w14:paraId="4A9F2D02" w14:textId="77777777" w:rsidR="001E0183" w:rsidRDefault="00000000">
      <w:pPr>
        <w:spacing w:after="200" w:line="360" w:lineRule="auto"/>
        <w:ind w:firstLine="720"/>
        <w:jc w:val="both"/>
      </w:pPr>
      <w:r>
        <w:rPr>
          <w:color w:val="000000"/>
        </w:rPr>
        <w:t>Si Galtung ofrece el marco para entender cómo el lenguaje produce violencia, Nancy Fraser (1995)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w:t>
      </w:r>
    </w:p>
    <w:p w14:paraId="578E75AD" w14:textId="77777777" w:rsidR="001E0183" w:rsidRDefault="00000000">
      <w:pPr>
        <w:spacing w:after="200" w:line="360" w:lineRule="auto"/>
        <w:ind w:firstLine="720"/>
        <w:jc w:val="both"/>
      </w:pPr>
      <w:r>
        <w:rPr>
          <w:color w:val="000000"/>
        </w:rPr>
        <w:t>La injusticia de reconocimiento ocurre cuando grupos o personas son sometidos a patrones institucionalizados de interpretación cultural que los degradan, los invisibilizan o los representan como «Otro» inferior o desviado. Fraser llama a esta forma de injusticia «falta de reconocimiento» (misrecognition), y la distingue de la mera intolerancia o el prejuicio individual: la falta de reconocimiento es sistémica, está institucionalizada en prácticas y estructuras culturales.</w:t>
      </w:r>
    </w:p>
    <w:p w14:paraId="0F45406C" w14:textId="77777777" w:rsidR="001E0183" w:rsidRDefault="00000000">
      <w:pPr>
        <w:spacing w:after="200" w:line="360" w:lineRule="auto"/>
        <w:ind w:firstLine="720"/>
        <w:jc w:val="both"/>
      </w:pPr>
      <w:r>
        <w:rPr>
          <w:color w:val="000000"/>
        </w:rPr>
        <w:t xml:space="preserve">En el contexto de los falsos positivos, la falta de reconocimiento operó en dos momentos complementarios. El primero fue durante el crimen: las víctimas fueron despojadas de su reconocimiento como civiles —como personas protegidas por el derecho internacional humanitario— y reencuadradas como combatientes enemigos. Este despojo no fue solo físico sino discursivo: el lenguaje del Ejército, reproducido en el expediente judicial, denegó sistemáticamente su condición de </w:t>
      </w:r>
      <w:r>
        <w:rPr>
          <w:color w:val="000000"/>
        </w:rPr>
        <w:lastRenderedPageBreak/>
        <w:t>personas con derechos. El segundo momento fue durante el procesamiento judicial ordinario: cuando los tribunales reprodujeron ese lenguaje sin cuestionarlo, reforzaron institucionalmente la falta de reconocimiento.</w:t>
      </w:r>
    </w:p>
    <w:p w14:paraId="6EC52927" w14:textId="77777777" w:rsidR="001E0183" w:rsidRDefault="00000000">
      <w:pPr>
        <w:spacing w:after="200" w:line="360" w:lineRule="auto"/>
        <w:ind w:firstLine="720"/>
        <w:jc w:val="both"/>
      </w:pPr>
      <w:r>
        <w:rPr>
          <w:color w:val="000000"/>
        </w:rPr>
        <w:t xml:space="preserve">El proceso de justicia transicional generado por la JEP puede entenderse, desde el marco de Fraser, como un proceso de </w:t>
      </w:r>
      <w:r>
        <w:rPr>
          <w:i/>
          <w:iCs/>
          <w:color w:val="000000"/>
        </w:rPr>
        <w:t>reconocimiento</w:t>
      </w:r>
      <w:r>
        <w:rPr>
          <w:color w:val="000000"/>
        </w:rPr>
        <w:t xml:space="preserve">: el reconocimiento de las víctimas como civiles inocentes, el reconocimiento de sus nombres y sus historias, el reconocimiento de la responsabilidad de los perpetradores, y el reconocimiento de que lo que el Estado llamó «baja en combate» fue un crimen de lesa humanidad. Este reconocimiento no es solo simbólico: produce efectos jurídicos, políticos y epistémicos que transforman el archivo judicial. Lo que esta tesis denomina </w:t>
      </w:r>
      <w:r>
        <w:rPr>
          <w:b/>
          <w:bCs/>
          <w:color w:val="000000"/>
        </w:rPr>
        <w:t>ruptura epistémica positiva (REP)</w:t>
      </w:r>
      <w:r>
        <w:rPr>
          <w:color w:val="000000"/>
        </w:rPr>
        <w:t xml:space="preserve"> es la manifestación discursiva del reconocimiento en el sentido de Fraser: la aparición, en los documentos transicionales, de un lenguaje que devuelve a las víctimas su condición de personas y a los perpetradores su responsabilidad.</w:t>
      </w:r>
    </w:p>
    <w:p w14:paraId="1CC8A6AB" w14:textId="77777777" w:rsidR="001E0183" w:rsidRDefault="00000000">
      <w:pPr>
        <w:spacing w:after="200" w:line="360" w:lineRule="auto"/>
        <w:ind w:firstLine="720"/>
        <w:jc w:val="both"/>
      </w:pPr>
      <w:r>
        <w:rPr>
          <w:color w:val="000000"/>
        </w:rPr>
        <w:t>La contribución específica de Fraser al marco teórico de la CFH es la idea de que el reconocimiento puede ser medido. Si la falta de reconocimiento se manifiesta en patrones lingüísticos sistemáticos —el EBI, la SA, la NV— entonces el reconocimiento también se manifiesta en patrones lingüísticos sistemáticos: la REP. La transición de unos patrones a otros es la transición epistémica que el DIS Score captura.</w:t>
      </w:r>
    </w:p>
    <w:p w14:paraId="58AEBE5E" w14:textId="77777777" w:rsidR="001E0183" w:rsidRDefault="001E0183">
      <w:pPr>
        <w:spacing w:after="120"/>
      </w:pPr>
    </w:p>
    <w:p w14:paraId="42CA0A98" w14:textId="77777777" w:rsidR="001E0183" w:rsidRDefault="00000000">
      <w:pPr>
        <w:pStyle w:val="Ttulo2"/>
      </w:pPr>
      <w:r>
        <w:t>3.3 La justicia discursiva: Habermas y sus limitaciones</w:t>
      </w:r>
    </w:p>
    <w:p w14:paraId="5C053904" w14:textId="77777777" w:rsidR="001E0183" w:rsidRDefault="00000000">
      <w:pPr>
        <w:spacing w:after="200" w:line="360" w:lineRule="auto"/>
        <w:ind w:firstLine="720"/>
        <w:jc w:val="both"/>
      </w:pPr>
      <w:r>
        <w:rPr>
          <w:color w:val="000000"/>
        </w:rPr>
        <w:t xml:space="preserve">El concepto de justicia discursiva de Jürgen Habermas (1984) añade una dimensión procedimental al marco teórico. Para Habermas, la legitimidad de una norma jurídica o de una decisión judicial no puede fundarse solo en su contenido sustantivo, sino también en la calidad del proceso comunicativo que la generó: en si todos los afectados pudieron participar en condiciones de igualdad, en si los </w:t>
      </w:r>
      <w:r>
        <w:rPr>
          <w:color w:val="000000"/>
        </w:rPr>
        <w:lastRenderedPageBreak/>
        <w:t>argumentos pudieron ser cuestionados libremente, en si el consenso resultante fue genuinamente racional y no producto de la coerción o la exclusión.</w:t>
      </w:r>
    </w:p>
    <w:p w14:paraId="4F693973" w14:textId="77777777" w:rsidR="001E0183" w:rsidRDefault="00000000">
      <w:pPr>
        <w:spacing w:after="200" w:line="360" w:lineRule="auto"/>
        <w:ind w:firstLine="720"/>
        <w:jc w:val="both"/>
      </w:pPr>
      <w:r>
        <w:rPr>
          <w:color w:val="000000"/>
        </w:rPr>
        <w:t>Desde esta perspectiva, el proceso judicial ordinario sobre los falsos positivos presenta una falla procedimental profunda: las víctimas no podían participar en igualdad de condiciones porque el lenguaje del proceso —dominado por la terminología militar— las excluía. Un proceso donde el homicidio de un civil es descrito como «resultado operacional» no es un proceso donde la víctima puede participar como igual: el lenguaje mismo produce su exclusión epistémica.</w:t>
      </w:r>
    </w:p>
    <w:p w14:paraId="12CDD94E" w14:textId="77777777" w:rsidR="001E0183" w:rsidRDefault="00000000">
      <w:pPr>
        <w:spacing w:after="200" w:line="360" w:lineRule="auto"/>
        <w:ind w:firstLine="720"/>
        <w:jc w:val="both"/>
      </w:pPr>
      <w:r>
        <w:rPr>
          <w:color w:val="000000"/>
        </w:rPr>
        <w:t>Sin embargo, la teoría habermasiana enfrenta una tensión importante cuando se aplica a crímenes de lesa humanidad: ¿puede un proceso comunicativo que incluye víctimas y victimarios en «condiciones de igualdad» producir justicia cuando las asimetrías de poder son tan extremas? La crítica de Cristina Lafont —recogida en el estado del arte— señala que el procedimentalismo de Habermas corre el riesgo de colapsar la distinción entre acuerdo fáctico y corrección moral: un proceso puede ser procedimentalmente correcto y sustantivamente injusto.</w:t>
      </w:r>
    </w:p>
    <w:p w14:paraId="7E1647B8" w14:textId="77777777" w:rsidR="001E0183" w:rsidRDefault="00000000">
      <w:pPr>
        <w:spacing w:after="200" w:line="360" w:lineRule="auto"/>
        <w:ind w:firstLine="720"/>
        <w:jc w:val="both"/>
      </w:pPr>
      <w:r>
        <w:rPr>
          <w:color w:val="000000"/>
        </w:rPr>
        <w:t>Esta tensión es relevante para la CFH porque señala que la ruptura epistémica positiva no puede medirse solo como convergencia hacia un lenguaje de consenso —debe medirse como convergencia hacia el lenguaje de los derechos humanos y la dignidad de las víctimas. Es por eso que el modelo SEM incorpora no solo indicadores de REP genérica, sino indicadores de distancia semántica respecto a dos fuentes de referencia específicas: los testimonios de MAFAPO (voces de las madres de víctimas) y los estándares de la Corte Interamericana de Derechos Humanos. Estas referencias anclan la transición epistémica en un contenido normativo concreto, no solo en un procedimiento comunicativo.</w:t>
      </w:r>
    </w:p>
    <w:p w14:paraId="37CA5B80" w14:textId="77777777" w:rsidR="001E0183" w:rsidRDefault="001E0183">
      <w:pPr>
        <w:spacing w:after="120"/>
      </w:pPr>
    </w:p>
    <w:p w14:paraId="69250880" w14:textId="77777777" w:rsidR="001E0183" w:rsidRDefault="00000000">
      <w:pPr>
        <w:pStyle w:val="Ttulo2"/>
      </w:pPr>
      <w:r>
        <w:t>3.4 La Hermenéutica Forense Computacional (CFH): formalización del marco</w:t>
      </w:r>
    </w:p>
    <w:p w14:paraId="4CC40FE2" w14:textId="77777777" w:rsidR="001E0183" w:rsidRDefault="00000000">
      <w:pPr>
        <w:spacing w:after="200" w:line="360" w:lineRule="auto"/>
        <w:ind w:firstLine="720"/>
        <w:jc w:val="both"/>
      </w:pPr>
      <w:r>
        <w:rPr>
          <w:color w:val="000000"/>
        </w:rPr>
        <w:lastRenderedPageBreak/>
        <w:t>La Hermenéutica Forense Computacional (CFH) es el marco metodológico original que esta tesis desarrolla para integrar los fundamentos teóricos descritos en las secciones anteriores con herramientas computacionales. El término hermenéutica se usa en su sentido gadameriano: como el arte de la interpretación de textos, especialmente de textos que llevan consigo las huellas de contextos históricos, de relaciones de poder y de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0183" w14:paraId="01F9CAAB" w14:textId="77777777">
        <w:tblPrEx>
          <w:tblCellMar>
            <w:top w:w="0" w:type="dxa"/>
            <w:bottom w:w="0" w:type="dxa"/>
          </w:tblCellMar>
        </w:tblPrEx>
        <w:tc>
          <w:tcPr>
            <w:tcW w:w="9026" w:type="dxa"/>
            <w:tcBorders>
              <w:top w:val="single" w:sz="2" w:space="0" w:color="0D9488"/>
              <w:left w:val="single" w:sz="6" w:space="0" w:color="0D9488"/>
              <w:bottom w:val="single" w:sz="2" w:space="0" w:color="0D9488"/>
            </w:tcBorders>
            <w:shd w:val="clear" w:color="auto" w:fill="E8F5F3"/>
            <w:tcMar>
              <w:top w:w="120" w:type="dxa"/>
              <w:left w:w="200" w:type="dxa"/>
              <w:bottom w:w="120" w:type="dxa"/>
              <w:right w:w="120" w:type="dxa"/>
            </w:tcMar>
          </w:tcPr>
          <w:p w14:paraId="18A234D5" w14:textId="77777777" w:rsidR="001E0183" w:rsidRDefault="00000000">
            <w:pPr>
              <w:spacing w:after="80"/>
            </w:pPr>
            <w:r>
              <w:rPr>
                <w:b/>
                <w:bCs/>
                <w:color w:val="0D9488"/>
                <w:sz w:val="22"/>
                <w:szCs w:val="22"/>
              </w:rPr>
              <w:t>Definición 3.1 — Hermenéutica Forense Computacional (CFH)</w:t>
            </w:r>
          </w:p>
          <w:p w14:paraId="21D1A027" w14:textId="77777777" w:rsidR="001E0183" w:rsidRDefault="00000000">
            <w:pPr>
              <w:jc w:val="both"/>
            </w:pPr>
            <w:r>
              <w:rPr>
                <w:i/>
                <w:iCs/>
                <w:color w:val="000000"/>
                <w:sz w:val="22"/>
                <w:szCs w:val="22"/>
              </w:rPr>
              <w:t>Marco teórico-metodológico para la medición cuantitativa de la injusticia discursiva en archivos judiciales, mediante la extracción automática de indicadores lingüísticos que operacionalizan mecanismos de violencia cultural (Galtung, 1990) y falta de reconocimiento (Fraser, 1995), integrados en un modelo de ecuaciones estructurales que estima la magnitud y dirección de la transición epistémica entre el lenguaje de la justicia ordinaria y el lenguaje de la justicia transicional.</w:t>
            </w:r>
          </w:p>
        </w:tc>
      </w:tr>
    </w:tbl>
    <w:p w14:paraId="66E0B512" w14:textId="77777777" w:rsidR="001E0183" w:rsidRDefault="001E0183">
      <w:pPr>
        <w:spacing w:after="120"/>
      </w:pPr>
    </w:p>
    <w:p w14:paraId="558F6129" w14:textId="77777777" w:rsidR="001E0183" w:rsidRDefault="00000000">
      <w:pPr>
        <w:spacing w:after="200" w:line="360" w:lineRule="auto"/>
        <w:ind w:firstLine="720"/>
        <w:jc w:val="both"/>
      </w:pPr>
      <w:r>
        <w:rPr>
          <w:color w:val="000000"/>
        </w:rPr>
        <w:t>La CFH descansa sobre tres presupuestos teóricos que conviene hacer explícitos.</w:t>
      </w:r>
    </w:p>
    <w:p w14:paraId="788F48C5" w14:textId="77777777" w:rsidR="001E0183" w:rsidRDefault="00000000">
      <w:pPr>
        <w:spacing w:after="200" w:line="360" w:lineRule="auto"/>
        <w:ind w:firstLine="720"/>
        <w:jc w:val="both"/>
      </w:pPr>
      <w:r>
        <w:rPr>
          <w:b/>
          <w:bCs/>
          <w:color w:val="000000"/>
        </w:rPr>
        <w:t xml:space="preserve">Presupuesto 1 — La violencia cultural es detectable computacionalmente. </w:t>
      </w:r>
      <w:r>
        <w:rPr>
          <w:color w:val="000000"/>
        </w:rPr>
        <w:t>Si la violencia cultural opera a través de mecanismos lingüísticos sistemáticos —el uso repetido de ciertos vocabularios, la preferencia por ciertas construcciones gramaticales, la recurrencia de ciertos patrones de atribución de identidad— entonces esos mecanismos pueden ser identificados y cuantificados con herramientas de NLP. Esta presupuesto no reduce la violencia cultural a sus manifestaciones lingüísticas; reconoce que el lenguaje es uno de sus vehículos privilegiados y que su análisis sistemático es una vía legítima de investigación.</w:t>
      </w:r>
    </w:p>
    <w:p w14:paraId="2BE79678" w14:textId="77777777" w:rsidR="001E0183" w:rsidRDefault="00000000">
      <w:pPr>
        <w:spacing w:after="200" w:line="360" w:lineRule="auto"/>
        <w:ind w:firstLine="720"/>
        <w:jc w:val="both"/>
      </w:pPr>
      <w:r>
        <w:rPr>
          <w:b/>
          <w:bCs/>
          <w:color w:val="000000"/>
        </w:rPr>
        <w:t xml:space="preserve">Presupuesto 2 — El reconocimiento tiene una signatura semántica. </w:t>
      </w:r>
      <w:r>
        <w:rPr>
          <w:color w:val="000000"/>
        </w:rPr>
        <w:t xml:space="preserve">El proceso de reconocimiento que describe Fraser no es solo un cambio en las actitudes </w:t>
      </w:r>
      <w:r>
        <w:rPr>
          <w:color w:val="000000"/>
        </w:rPr>
        <w:lastRenderedPageBreak/>
        <w:t>o intenciones de los hablantes, sino un cambio en el lenguaje que producen. Ese cambio es detectable: el lenguaje del reconocimiento —el que nombra a las víctimas por su nombre, que las llama civiles, que califica los hechos como crímenes— es semánticamente distante del lenguaje de la impunidad. Esa distancia puede medirse mediante técnicas de representación vectorial del significado (embeddings) y de comparación de distribuciones semánticas.</w:t>
      </w:r>
    </w:p>
    <w:p w14:paraId="6E843875" w14:textId="77777777" w:rsidR="001E0183" w:rsidRDefault="00000000">
      <w:pPr>
        <w:spacing w:after="200" w:line="360" w:lineRule="auto"/>
        <w:ind w:firstLine="720"/>
        <w:jc w:val="both"/>
      </w:pPr>
      <w:r>
        <w:rPr>
          <w:b/>
          <w:bCs/>
          <w:color w:val="000000"/>
        </w:rPr>
        <w:t xml:space="preserve">Presupuesto 3 — La transición epistémica es un fenómeno latente medible. </w:t>
      </w:r>
      <w:r>
        <w:rPr>
          <w:color w:val="000000"/>
        </w:rPr>
        <w:t>La transición del lenguaje de la guerra a la semántica de la paz no es un hecho binario sino un proceso continuo y multidimensional. Los documentos judiciales pueden ubicarse en un espectro que va desde el polo de la violencia discursiva máxima —donde el EBI, la SA y la NV son dominantes— hasta el polo del reconocimiento máximo —donde la REP es dominante y las distancias semánticas respecto a la verdad de las víctimas son mínimas. Este espectro puede ser modelado como una variable latente —el DIS Score— cuya magnitud se estima a partir de múltiples indicadores observables.</w:t>
      </w:r>
    </w:p>
    <w:p w14:paraId="6176C98D" w14:textId="77777777" w:rsidR="001E0183" w:rsidRDefault="001E0183">
      <w:pPr>
        <w:spacing w:after="120"/>
      </w:pPr>
    </w:p>
    <w:p w14:paraId="251F198A" w14:textId="77777777" w:rsidR="001E0183" w:rsidRDefault="00000000">
      <w:pPr>
        <w:pStyle w:val="Ttulo2"/>
      </w:pPr>
      <w:r>
        <w:t>3.5 El Discursive Injustice Score (DIS Score): formalización</w:t>
      </w:r>
    </w:p>
    <w:p w14:paraId="35238B84" w14:textId="77777777" w:rsidR="001E0183" w:rsidRDefault="00000000">
      <w:pPr>
        <w:spacing w:after="200" w:line="360" w:lineRule="auto"/>
        <w:ind w:firstLine="720"/>
        <w:jc w:val="both"/>
      </w:pPr>
      <w:r>
        <w:rPr>
          <w:color w:val="000000"/>
        </w:rPr>
        <w:t>El Discursive Injustice Score (DIS Score) es el índice cuantitativo central de la CFH. Representa el grado de injusticia discursiva presente en un documento judicial, medido como una combinación ponderada de indicadores lingüísticos que capturan los mecanismos de violencia cultural descritos en la sección 3.1 y la ausencia del reconocimiento descrito en la sección 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E0183" w14:paraId="3F47D538" w14:textId="77777777">
        <w:tblPrEx>
          <w:tblCellMar>
            <w:top w:w="0" w:type="dxa"/>
            <w:bottom w:w="0" w:type="dxa"/>
          </w:tblCellMar>
        </w:tblPrEx>
        <w:tc>
          <w:tcPr>
            <w:tcW w:w="9026" w:type="dxa"/>
            <w:tcBorders>
              <w:top w:val="single" w:sz="2" w:space="0" w:color="0D9488"/>
              <w:left w:val="single" w:sz="6" w:space="0" w:color="0D9488"/>
              <w:bottom w:val="single" w:sz="2" w:space="0" w:color="0D9488"/>
            </w:tcBorders>
            <w:shd w:val="clear" w:color="auto" w:fill="E8F5F3"/>
            <w:tcMar>
              <w:top w:w="120" w:type="dxa"/>
              <w:left w:w="200" w:type="dxa"/>
              <w:bottom w:w="120" w:type="dxa"/>
              <w:right w:w="120" w:type="dxa"/>
            </w:tcMar>
          </w:tcPr>
          <w:p w14:paraId="2FAC0C43" w14:textId="77777777" w:rsidR="001E0183" w:rsidRPr="00F83098" w:rsidRDefault="00000000">
            <w:pPr>
              <w:spacing w:after="80"/>
              <w:rPr>
                <w:lang w:val="en-US"/>
              </w:rPr>
            </w:pPr>
            <w:r w:rsidRPr="00F83098">
              <w:rPr>
                <w:b/>
                <w:bCs/>
                <w:color w:val="0D9488"/>
                <w:sz w:val="22"/>
                <w:szCs w:val="22"/>
                <w:lang w:val="en-US"/>
              </w:rPr>
              <w:t xml:space="preserve">Definición 3.2 — Discursive Injustice Score (DIS Score, </w:t>
            </w:r>
            <w:r>
              <w:rPr>
                <w:b/>
                <w:bCs/>
                <w:color w:val="0D9488"/>
                <w:sz w:val="22"/>
                <w:szCs w:val="22"/>
              </w:rPr>
              <w:t>η</w:t>
            </w:r>
            <w:r w:rsidRPr="00F83098">
              <w:rPr>
                <w:b/>
                <w:bCs/>
                <w:color w:val="0D9488"/>
                <w:sz w:val="22"/>
                <w:szCs w:val="22"/>
                <w:lang w:val="en-US"/>
              </w:rPr>
              <w:t>₁)</w:t>
            </w:r>
          </w:p>
          <w:p w14:paraId="765F40DA" w14:textId="77777777" w:rsidR="001E0183" w:rsidRDefault="00000000">
            <w:pPr>
              <w:jc w:val="both"/>
            </w:pPr>
            <w:r>
              <w:rPr>
                <w:i/>
                <w:iCs/>
                <w:color w:val="000000"/>
                <w:sz w:val="22"/>
                <w:szCs w:val="22"/>
              </w:rPr>
              <w:t>Variable latente endógena del modelo SEM que representa la magnitud de la injusticia discursiva en un segmento textual judicial, estimada a partir de cuatro indicadores observables: surprisal lingüístico respecto a un modelo de lenguaje de paz (y₇), distancia coseno respecto al centroide MAFAPO (y₈), distancia coseno respecto al centroide CIDH (y₉), y frecuencia normalizada de EBI (y₁). Un DIS Score alto indica mayor distancia semántica respecto a la verdad de las víctimas y mayor presencia de mecanismos de violencia cultural.</w:t>
            </w:r>
          </w:p>
        </w:tc>
      </w:tr>
    </w:tbl>
    <w:p w14:paraId="41CBA015" w14:textId="77777777" w:rsidR="001E0183" w:rsidRDefault="001E0183">
      <w:pPr>
        <w:spacing w:after="120"/>
      </w:pPr>
    </w:p>
    <w:p w14:paraId="3BC91E32" w14:textId="77777777" w:rsidR="001E0183" w:rsidRDefault="00000000">
      <w:pPr>
        <w:spacing w:after="200" w:line="360" w:lineRule="auto"/>
        <w:ind w:firstLine="720"/>
        <w:jc w:val="both"/>
      </w:pPr>
      <w:r>
        <w:rPr>
          <w:color w:val="000000"/>
        </w:rPr>
        <w:t>El modelo SEM de la CFH articula cuatro variables latentes en un sistema de ecuaciones estructurales. Las dos variables exógenas representan las fuentes de variación en la injusticia discursiva: la Violencia Discursiva (ξ₁), que captura la intensidad de los mecanismos de EBI, SA y NV en el texto, y el Contexto Institucional (ξ₂), que captura la influencia del tipo de tribunal y el período temporal. Las dos variables endógenas representan los fenómenos que el modelo busca explicar: el DIS Score (η₁), que cuantifica la injusticia discursiva, y la Transición Epistémica (η₂), que cuantifica el grado de ruptura hacia el lenguaje del reconocimiento.</w:t>
      </w:r>
    </w:p>
    <w:p w14:paraId="2D983277" w14:textId="77777777" w:rsidR="001E0183" w:rsidRDefault="001E01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226"/>
      </w:tblGrid>
      <w:tr w:rsidR="001E0183" w14:paraId="39059815" w14:textId="77777777">
        <w:tblPrEx>
          <w:tblCellMar>
            <w:top w:w="0" w:type="dxa"/>
            <w:bottom w:w="0" w:type="dxa"/>
          </w:tblCellMar>
        </w:tblPrEx>
        <w:tc>
          <w:tcPr>
            <w:tcW w:w="2200" w:type="dxa"/>
            <w:tcBorders>
              <w:top w:val="single" w:sz="2" w:space="0" w:color="0D2137"/>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2D4D1F4" w14:textId="77777777" w:rsidR="001E0183" w:rsidRDefault="00000000">
            <w:r>
              <w:rPr>
                <w:b/>
                <w:bCs/>
                <w:color w:val="FFFFFF"/>
                <w:sz w:val="20"/>
                <w:szCs w:val="20"/>
              </w:rPr>
              <w:t>Variable latente</w:t>
            </w:r>
          </w:p>
        </w:tc>
        <w:tc>
          <w:tcPr>
            <w:tcW w:w="1800" w:type="dxa"/>
            <w:tcBorders>
              <w:top w:val="single" w:sz="2" w:space="0" w:color="0D2137"/>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987457E" w14:textId="77777777" w:rsidR="001E0183" w:rsidRDefault="00000000">
            <w:r>
              <w:rPr>
                <w:b/>
                <w:bCs/>
                <w:color w:val="FFFFFF"/>
                <w:sz w:val="20"/>
                <w:szCs w:val="20"/>
              </w:rPr>
              <w:t>Símbolo</w:t>
            </w:r>
          </w:p>
        </w:tc>
        <w:tc>
          <w:tcPr>
            <w:tcW w:w="1800" w:type="dxa"/>
            <w:tcBorders>
              <w:top w:val="single" w:sz="2" w:space="0" w:color="0D2137"/>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581FA65" w14:textId="77777777" w:rsidR="001E0183" w:rsidRDefault="00000000">
            <w:r>
              <w:rPr>
                <w:b/>
                <w:bCs/>
                <w:color w:val="FFFFFF"/>
                <w:sz w:val="20"/>
                <w:szCs w:val="20"/>
              </w:rPr>
              <w:t>Tipo</w:t>
            </w:r>
          </w:p>
        </w:tc>
        <w:tc>
          <w:tcPr>
            <w:tcW w:w="3226" w:type="dxa"/>
            <w:tcBorders>
              <w:top w:val="single" w:sz="2" w:space="0" w:color="0D2137"/>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66FC5D6" w14:textId="77777777" w:rsidR="001E0183" w:rsidRDefault="00000000">
            <w:r>
              <w:rPr>
                <w:b/>
                <w:bCs/>
                <w:color w:val="FFFFFF"/>
                <w:sz w:val="20"/>
                <w:szCs w:val="20"/>
              </w:rPr>
              <w:t>Indicadores observables</w:t>
            </w:r>
          </w:p>
        </w:tc>
      </w:tr>
      <w:tr w:rsidR="001E0183" w14:paraId="090F50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8227D" w14:textId="77777777" w:rsidR="001E0183" w:rsidRDefault="00000000">
            <w:r>
              <w:rPr>
                <w:sz w:val="20"/>
                <w:szCs w:val="20"/>
              </w:rPr>
              <w:t>Violencia Discursiva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FEC7B" w14:textId="77777777" w:rsidR="001E0183" w:rsidRDefault="00000000">
            <w:r>
              <w:rPr>
                <w:sz w:val="20"/>
                <w:szCs w:val="20"/>
              </w:rPr>
              <w:t>ξ₁</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FE0B4" w14:textId="77777777" w:rsidR="001E0183" w:rsidRDefault="00000000">
            <w:r>
              <w:rPr>
                <w:sz w:val="20"/>
                <w:szCs w:val="20"/>
              </w:rPr>
              <w:t>Exógena</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3C582B" w14:textId="77777777" w:rsidR="001E0183" w:rsidRDefault="00000000">
            <w:r>
              <w:rPr>
                <w:sz w:val="20"/>
                <w:szCs w:val="20"/>
              </w:rPr>
              <w:t>y₁ EBI score, y₂ SA score, y₃ distancia léxico civil, y₄ NV score</w:t>
            </w:r>
          </w:p>
        </w:tc>
      </w:tr>
      <w:tr w:rsidR="001E0183" w:rsidRPr="00F83098" w14:paraId="6AF105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414C" w14:textId="77777777" w:rsidR="001E0183" w:rsidRDefault="00000000">
            <w:r>
              <w:rPr>
                <w:sz w:val="20"/>
                <w:szCs w:val="20"/>
              </w:rPr>
              <w:t>Contexto Institucional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7C7B7" w14:textId="77777777" w:rsidR="001E0183" w:rsidRDefault="00000000">
            <w:r>
              <w:rPr>
                <w:sz w:val="20"/>
                <w:szCs w:val="20"/>
              </w:rPr>
              <w:t>ξ₂</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59FC8" w14:textId="77777777" w:rsidR="001E0183" w:rsidRDefault="00000000">
            <w:r>
              <w:rPr>
                <w:sz w:val="20"/>
                <w:szCs w:val="20"/>
              </w:rPr>
              <w:t>Exógena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F8F80" w14:textId="77777777" w:rsidR="001E0183" w:rsidRPr="00F83098" w:rsidRDefault="00000000">
            <w:pPr>
              <w:rPr>
                <w:lang w:val="pt-BR"/>
              </w:rPr>
            </w:pPr>
            <w:r w:rsidRPr="00F83098">
              <w:rPr>
                <w:sz w:val="20"/>
                <w:szCs w:val="20"/>
                <w:lang w:val="pt-BR"/>
              </w:rPr>
              <w:t>y₅ tipo de corpus (CE / CSJ / JEP), y₆ período normativo</w:t>
            </w:r>
          </w:p>
        </w:tc>
      </w:tr>
      <w:tr w:rsidR="001E0183" w14:paraId="52CB15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F9956" w14:textId="77777777" w:rsidR="001E0183" w:rsidRDefault="00000000">
            <w:r>
              <w:rPr>
                <w:sz w:val="20"/>
                <w:szCs w:val="20"/>
              </w:rPr>
              <w:t>DIS Score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A4EEF" w14:textId="77777777" w:rsidR="001E0183" w:rsidRDefault="00000000">
            <w:r>
              <w:rPr>
                <w:sz w:val="20"/>
                <w:szCs w:val="20"/>
              </w:rPr>
              <w:t>η₁</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306BC" w14:textId="77777777" w:rsidR="001E0183" w:rsidRDefault="00000000">
            <w:r>
              <w:rPr>
                <w:sz w:val="20"/>
                <w:szCs w:val="20"/>
              </w:rPr>
              <w:t>Endógena</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2620F4" w14:textId="77777777" w:rsidR="001E0183" w:rsidRDefault="00000000">
            <w:r>
              <w:rPr>
                <w:sz w:val="20"/>
                <w:szCs w:val="20"/>
              </w:rPr>
              <w:t>y₇ surprisal, y₈ distancia MAFAPO, y₉ distancia CIDH</w:t>
            </w:r>
          </w:p>
        </w:tc>
      </w:tr>
      <w:tr w:rsidR="001E0183" w14:paraId="199B16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46F7E" w14:textId="77777777" w:rsidR="001E0183" w:rsidRDefault="00000000">
            <w:r>
              <w:rPr>
                <w:sz w:val="20"/>
                <w:szCs w:val="20"/>
              </w:rPr>
              <w:t>Transición Epistémica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6241E" w14:textId="77777777" w:rsidR="001E0183" w:rsidRDefault="00000000">
            <w:r>
              <w:rPr>
                <w:sz w:val="20"/>
                <w:szCs w:val="20"/>
              </w:rPr>
              <w:t>η₂</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46997" w14:textId="77777777" w:rsidR="001E0183" w:rsidRDefault="00000000">
            <w:r>
              <w:rPr>
                <w:sz w:val="20"/>
                <w:szCs w:val="20"/>
              </w:rPr>
              <w:t>Endógena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A5C3" w14:textId="77777777" w:rsidR="001E0183" w:rsidRDefault="00000000">
            <w:r>
              <w:rPr>
                <w:sz w:val="20"/>
                <w:szCs w:val="20"/>
              </w:rPr>
              <w:t>y₁₀ REP score, y₁₁ convergencia restaurativa, y₁₂ features acústicas*</w:t>
            </w:r>
          </w:p>
        </w:tc>
      </w:tr>
    </w:tbl>
    <w:p w14:paraId="6DC8DAC6" w14:textId="77777777" w:rsidR="001E0183" w:rsidRDefault="001E0183">
      <w:pPr>
        <w:spacing w:after="120"/>
      </w:pPr>
    </w:p>
    <w:p w14:paraId="4D7DCA80" w14:textId="77777777" w:rsidR="001E0183" w:rsidRDefault="00000000">
      <w:pPr>
        <w:spacing w:after="200"/>
      </w:pPr>
      <w:r>
        <w:rPr>
          <w:i/>
          <w:iCs/>
          <w:color w:val="595959"/>
          <w:sz w:val="18"/>
          <w:szCs w:val="18"/>
        </w:rPr>
        <w:t>* y₁₂ aplica exclusivamente al Corpus C (audiencias orales JEP). Para los corpus A y B este indicador se fija en cero.</w:t>
      </w:r>
    </w:p>
    <w:p w14:paraId="6DCE71FB" w14:textId="77777777" w:rsidR="001E0183" w:rsidRDefault="00000000">
      <w:pPr>
        <w:spacing w:after="200" w:line="360" w:lineRule="auto"/>
        <w:ind w:firstLine="720"/>
        <w:jc w:val="both"/>
      </w:pPr>
      <w:r>
        <w:rPr>
          <w:color w:val="000000"/>
        </w:rPr>
        <w:t>La especificación formal del modelo SEM de la CFH se expresa en el siguiente sistema de ecuaciones estructurales:</w:t>
      </w:r>
    </w:p>
    <w:p w14:paraId="23F79017" w14:textId="77777777" w:rsidR="001E0183" w:rsidRDefault="001E0183">
      <w:pPr>
        <w:spacing w:after="120"/>
      </w:pPr>
    </w:p>
    <w:p w14:paraId="6B5F7707" w14:textId="77777777" w:rsidR="001E0183" w:rsidRDefault="00000000">
      <w:pPr>
        <w:spacing w:after="80"/>
      </w:pPr>
      <w:r>
        <w:rPr>
          <w:b/>
          <w:bCs/>
          <w:sz w:val="22"/>
          <w:szCs w:val="22"/>
        </w:rPr>
        <w:t>Ecuaciones de medición:</w:t>
      </w:r>
    </w:p>
    <w:p w14:paraId="48663BFB" w14:textId="77777777" w:rsidR="001E0183" w:rsidRDefault="00000000">
      <w:pPr>
        <w:spacing w:after="60"/>
        <w:ind w:left="720"/>
      </w:pPr>
      <w:r>
        <w:rPr>
          <w:rFonts w:ascii="Courier New" w:eastAsia="Courier New" w:hAnsi="Courier New" w:cs="Courier New"/>
          <w:color w:val="0D9488"/>
          <w:sz w:val="22"/>
          <w:szCs w:val="22"/>
        </w:rPr>
        <w:t>ξ₁ =~ y₁ + y₂ + y₃ + y₄</w:t>
      </w:r>
    </w:p>
    <w:p w14:paraId="1517F084" w14:textId="77777777" w:rsidR="001E0183" w:rsidRDefault="00000000">
      <w:pPr>
        <w:spacing w:after="60"/>
        <w:ind w:left="720"/>
      </w:pPr>
      <w:r>
        <w:rPr>
          <w:rFonts w:ascii="Courier New" w:eastAsia="Courier New" w:hAnsi="Courier New" w:cs="Courier New"/>
          <w:color w:val="0D9488"/>
          <w:sz w:val="22"/>
          <w:szCs w:val="22"/>
        </w:rPr>
        <w:t>ξ₂ =~ y₅ + y₆</w:t>
      </w:r>
    </w:p>
    <w:p w14:paraId="5272B3BF" w14:textId="77777777" w:rsidR="001E0183" w:rsidRDefault="00000000">
      <w:pPr>
        <w:spacing w:after="60"/>
        <w:ind w:left="720"/>
      </w:pPr>
      <w:r>
        <w:rPr>
          <w:rFonts w:ascii="Courier New" w:eastAsia="Courier New" w:hAnsi="Courier New" w:cs="Courier New"/>
          <w:color w:val="0D9488"/>
          <w:sz w:val="22"/>
          <w:szCs w:val="22"/>
        </w:rPr>
        <w:t>η₁ =~ y₇ + y₈ + y₉</w:t>
      </w:r>
    </w:p>
    <w:p w14:paraId="15667E48" w14:textId="77777777" w:rsidR="001E0183" w:rsidRDefault="00000000">
      <w:pPr>
        <w:spacing w:after="120"/>
        <w:ind w:left="720"/>
      </w:pPr>
      <w:r>
        <w:rPr>
          <w:rFonts w:ascii="Courier New" w:eastAsia="Courier New" w:hAnsi="Courier New" w:cs="Courier New"/>
          <w:color w:val="0D9488"/>
          <w:sz w:val="22"/>
          <w:szCs w:val="22"/>
        </w:rPr>
        <w:t>η₂ =~ y₁₀ + y₁₁ + y₁₂</w:t>
      </w:r>
    </w:p>
    <w:p w14:paraId="1807461B" w14:textId="77777777" w:rsidR="001E0183" w:rsidRDefault="00000000">
      <w:pPr>
        <w:spacing w:after="80"/>
      </w:pPr>
      <w:r>
        <w:rPr>
          <w:b/>
          <w:bCs/>
          <w:sz w:val="22"/>
          <w:szCs w:val="22"/>
        </w:rPr>
        <w:t>Ecuaciones estructurales:</w:t>
      </w:r>
    </w:p>
    <w:p w14:paraId="6A194B41" w14:textId="77777777" w:rsidR="001E0183" w:rsidRDefault="00000000">
      <w:pPr>
        <w:spacing w:after="60"/>
        <w:ind w:left="720"/>
      </w:pPr>
      <w:r>
        <w:rPr>
          <w:rFonts w:ascii="Courier New" w:eastAsia="Courier New" w:hAnsi="Courier New" w:cs="Courier New"/>
          <w:color w:val="0D9488"/>
          <w:sz w:val="22"/>
          <w:szCs w:val="22"/>
        </w:rPr>
        <w:lastRenderedPageBreak/>
        <w:t>η₁ ~ ξ₁ + ξ₂        [H₁: β₁₁ &gt; 0; H₂: β₁₂ significativo]</w:t>
      </w:r>
    </w:p>
    <w:p w14:paraId="6768E775" w14:textId="77777777" w:rsidR="001E0183" w:rsidRDefault="00000000">
      <w:pPr>
        <w:spacing w:after="60"/>
        <w:ind w:left="720"/>
      </w:pPr>
      <w:r>
        <w:rPr>
          <w:rFonts w:ascii="Courier New" w:eastAsia="Courier New" w:hAnsi="Courier New" w:cs="Courier New"/>
          <w:color w:val="0D9488"/>
          <w:sz w:val="22"/>
          <w:szCs w:val="22"/>
        </w:rPr>
        <w:t>η₂ ~ η₁             [H₃: β₂₃ &lt; 0, p &lt; .01]</w:t>
      </w:r>
    </w:p>
    <w:p w14:paraId="3E847475" w14:textId="77777777" w:rsidR="001E0183" w:rsidRDefault="00000000">
      <w:pPr>
        <w:spacing w:after="200"/>
        <w:ind w:left="720"/>
      </w:pPr>
      <w:r>
        <w:rPr>
          <w:rFonts w:ascii="Courier New" w:eastAsia="Courier New" w:hAnsi="Courier New" w:cs="Courier New"/>
          <w:color w:val="0D9488"/>
          <w:sz w:val="22"/>
          <w:szCs w:val="22"/>
        </w:rPr>
        <w:t>ξ₁ ~~ ξ₂            [covarianza libre]</w:t>
      </w:r>
    </w:p>
    <w:p w14:paraId="7A747721" w14:textId="77777777" w:rsidR="001E0183" w:rsidRDefault="00000000">
      <w:pPr>
        <w:spacing w:after="200" w:line="360" w:lineRule="auto"/>
        <w:ind w:firstLine="720"/>
        <w:jc w:val="both"/>
      </w:pPr>
      <w:r>
        <w:rPr>
          <w:color w:val="000000"/>
        </w:rPr>
        <w:t>La hipótesis central del modelo (H₃) es que el DIS Score predice negativamente la Transición Epistémica: los documentos con mayor injusticia discursiva tienen menor convergencia hacia el lenguaje del reconocimiento. El signo negativo esperado de β₂₃ refleja la lógica teórica del marco Fraser-Galtung: la violencia cultural y el reconocimiento son polos opuestos del mismo espectro discursivo.</w:t>
      </w:r>
    </w:p>
    <w:p w14:paraId="610B29E4" w14:textId="77777777" w:rsidR="001E0183" w:rsidRDefault="001E0183">
      <w:pPr>
        <w:spacing w:after="120"/>
      </w:pPr>
    </w:p>
    <w:p w14:paraId="0453083E" w14:textId="77777777" w:rsidR="001E0183" w:rsidRDefault="00000000">
      <w:pPr>
        <w:pStyle w:val="Ttulo2"/>
      </w:pPr>
      <w:r>
        <w:t>3.6 Los centroides de referencia: la Memoria de Verdad Triangulada</w:t>
      </w:r>
    </w:p>
    <w:p w14:paraId="006FE208" w14:textId="77777777" w:rsidR="001E0183" w:rsidRDefault="00000000">
      <w:pPr>
        <w:spacing w:after="200" w:line="360" w:lineRule="auto"/>
        <w:ind w:firstLine="720"/>
        <w:jc w:val="both"/>
      </w:pPr>
      <w:r>
        <w:rPr>
          <w:color w:val="000000"/>
        </w:rPr>
        <w:t>Una de las contribuciones metodológicas más importantes de la CFH es la construcción de lo que el marco denomina Memoria de Verdad Triangulada: el conjunto de vectores semánticos de referencia respecto a los cuales se mide la distancia discursiva de cada documento judicial.</w:t>
      </w:r>
    </w:p>
    <w:p w14:paraId="5F3F0686" w14:textId="77777777" w:rsidR="001E0183" w:rsidRDefault="00000000">
      <w:pPr>
        <w:spacing w:after="200" w:line="360" w:lineRule="auto"/>
        <w:ind w:firstLine="720"/>
        <w:jc w:val="both"/>
      </w:pPr>
      <w:r>
        <w:rPr>
          <w:color w:val="000000"/>
        </w:rPr>
        <w:t>La idea es la siguiente: si queremos medir cuán lejos está el lenguaje de una sentencia del Consejo de Estado respecto a la verdad de las víctimas, necesitamos una representación semántica de qué es esa «verdad de las víctimas». Esa representación no puede construirse arbitrariamente —debe anclarse en fuentes que la investigación académica y los estándares internacionales de derechos humanos reconocen como expresiones legítimas de la experiencia y los derechos de las víctimas.</w:t>
      </w:r>
    </w:p>
    <w:p w14:paraId="0FEA36AC" w14:textId="77777777" w:rsidR="001E0183" w:rsidRDefault="00000000">
      <w:pPr>
        <w:spacing w:after="200" w:line="360" w:lineRule="auto"/>
        <w:ind w:firstLine="720"/>
        <w:jc w:val="both"/>
      </w:pPr>
      <w:r>
        <w:rPr>
          <w:color w:val="000000"/>
        </w:rPr>
        <w:t>Esta investigación utiliza dos fuentes de referencia para construir los centroides semánticos:</w:t>
      </w:r>
    </w:p>
    <w:p w14:paraId="27402A52" w14:textId="77777777" w:rsidR="001E0183" w:rsidRDefault="00000000">
      <w:pPr>
        <w:pStyle w:val="Prrafodelista"/>
        <w:numPr>
          <w:ilvl w:val="0"/>
          <w:numId w:val="2"/>
        </w:numPr>
        <w:spacing w:after="120"/>
        <w:jc w:val="both"/>
      </w:pPr>
      <w:r>
        <w:rPr>
          <w:b/>
          <w:bCs/>
        </w:rPr>
        <w:t xml:space="preserve">Testimonios de MAFAPO (Madres de Falsos Positivos de Soacha y Bogotá). </w:t>
      </w:r>
      <w:r>
        <w:t xml:space="preserve">Los relatos directos de las madres de las víctimas documentados por organizaciones de derechos humanos. Estos testimonios representan la perspectiva de quienes sufrieron la violencia directa y la falta de </w:t>
      </w:r>
      <w:r>
        <w:lastRenderedPageBreak/>
        <w:t>reconocimiento en su forma más cruda. El centroide MAFAPO es el promedio de los vectores semánticos de estos testimonios en el espacio de ConfliBERT-Spanish.</w:t>
      </w:r>
    </w:p>
    <w:p w14:paraId="63A44A5A" w14:textId="77777777" w:rsidR="001E0183" w:rsidRDefault="00000000">
      <w:pPr>
        <w:pStyle w:val="Prrafodelista"/>
        <w:numPr>
          <w:ilvl w:val="0"/>
          <w:numId w:val="2"/>
        </w:numPr>
        <w:spacing w:after="200"/>
        <w:jc w:val="both"/>
      </w:pPr>
      <w:r>
        <w:rPr>
          <w:b/>
          <w:bCs/>
        </w:rPr>
        <w:t xml:space="preserve">Estándares de la Corte Interamericana de Derechos Humanos (CIDH). </w:t>
      </w:r>
      <w:r>
        <w:t>Las sentencias y resoluciones de la CIDH sobre casos de ejecuciones extrajudiciales en Colombia, que representan el estándar jurídico internacional del reconocimiento de las víctimas y de la responsabilidad estatal. El centroide CIDH es el promedio de los vectores semánticos de estos documentos.</w:t>
      </w:r>
    </w:p>
    <w:p w14:paraId="30C5523C" w14:textId="77777777" w:rsidR="001E0183" w:rsidRDefault="00000000">
      <w:pPr>
        <w:spacing w:after="200" w:line="360" w:lineRule="auto"/>
        <w:ind w:firstLine="720"/>
        <w:jc w:val="both"/>
      </w:pPr>
      <w:r>
        <w:rPr>
          <w:color w:val="000000"/>
        </w:rPr>
        <w:t>La distancia coseno entre el vector semántico de un segmento judicial y estos dos centroides produce los indicadores y₈ (distancia MAFAPO) y y₉ (distancia CIDH), que alimentan η₁ (DIS Score) en el modelo SEM. Cuanto mayor es esa distancia, mayor es la injusticia discursiva del documento respecto a la experiencia de las víctimas y los estándares internacionales.</w:t>
      </w:r>
    </w:p>
    <w:p w14:paraId="1CF0A516" w14:textId="77777777" w:rsidR="001E0183" w:rsidRDefault="00000000">
      <w:pPr>
        <w:spacing w:after="200" w:line="360" w:lineRule="auto"/>
        <w:ind w:firstLine="720"/>
        <w:jc w:val="both"/>
      </w:pPr>
      <w:r>
        <w:rPr>
          <w:color w:val="000000"/>
        </w:rPr>
        <w:t>Este diseño responde a la crítica habermasiana que se señaló en la sección 3.3: el reconocimiento no puede medirse solo como convergencia hacia cualquier consenso, sino como convergencia hacia el lenguaje de los derechos y la dignidad de las víctimas. Los centroides MAFAPO y CIDH operan como el ancla normativa que distingue la verdadera ruptura epistémica del mero cambio retórico.</w:t>
      </w:r>
    </w:p>
    <w:p w14:paraId="56F9F5F0" w14:textId="77777777" w:rsidR="001E0183" w:rsidRDefault="001E0183">
      <w:pPr>
        <w:spacing w:after="120"/>
      </w:pPr>
    </w:p>
    <w:p w14:paraId="4E5CD3D3" w14:textId="77777777" w:rsidR="001E0183" w:rsidRDefault="00000000">
      <w:pPr>
        <w:pStyle w:val="Ttulo2"/>
      </w:pPr>
      <w:r>
        <w:t>3.7 Síntesis: la CFH como auditoría del archivo</w:t>
      </w:r>
    </w:p>
    <w:p w14:paraId="5A37251C" w14:textId="77777777" w:rsidR="001E0183" w:rsidRDefault="00000000">
      <w:pPr>
        <w:spacing w:after="200" w:line="360" w:lineRule="auto"/>
        <w:ind w:firstLine="720"/>
        <w:jc w:val="both"/>
      </w:pPr>
      <w:r>
        <w:rPr>
          <w:color w:val="000000"/>
        </w:rPr>
        <w:t>El marco teórico desarrollado en este capítulo puede sintetizarse en una proposición central: el archivo judicial colombiano sobre los falsos positivos es un archivo de la violencia cultural, y la CFH es una metodología para auditar esa violencia de manera sistemática, cuantitativa y reproducible.</w:t>
      </w:r>
    </w:p>
    <w:p w14:paraId="10978CC0" w14:textId="77777777" w:rsidR="001E0183" w:rsidRDefault="00000000">
      <w:pPr>
        <w:spacing w:after="200" w:line="360" w:lineRule="auto"/>
        <w:ind w:firstLine="720"/>
        <w:jc w:val="both"/>
      </w:pPr>
      <w:r>
        <w:rPr>
          <w:color w:val="000000"/>
        </w:rPr>
        <w:t xml:space="preserve">Auditar el archivo no significa solo detectar qué documentos usaron más eufemismos. Significa reconstruir la trayectoria discursiva del Estado colombiano respecto a las víctimas del Macrocaso 003: desde los informes militares de 2007 que describieron a Fair Leonardo como «guerrillero neutralizado», pasando por las sentencias del Consejo de Estado que reprodujeron ese lenguaje sin cuestionarlo, </w:t>
      </w:r>
      <w:r>
        <w:rPr>
          <w:color w:val="000000"/>
        </w:rPr>
        <w:lastRenderedPageBreak/>
        <w:t>hasta los autos de la JEP de 2021 que lo llamó por su nombre —«asesinato de civil»— y los reconocimientos de los comparecientes en las audiencias públicas de 2022 que pidieron perdón por su nombre.</w:t>
      </w:r>
    </w:p>
    <w:p w14:paraId="20FF529B" w14:textId="77777777" w:rsidR="001E0183" w:rsidRDefault="00000000">
      <w:pPr>
        <w:spacing w:after="200" w:line="360" w:lineRule="auto"/>
        <w:ind w:firstLine="720"/>
        <w:jc w:val="both"/>
      </w:pPr>
      <w:r>
        <w:rPr>
          <w:color w:val="000000"/>
        </w:rPr>
        <w:t>Esa trayectoria es el objeto de estudio de esta tesis. El DIS Score es el instrumento de medición. La CFH es el marco que hace posible que esa medición sea teóricamente fundamentada, metodológicamente rigurosa y computacionalmente escalable.</w:t>
      </w:r>
    </w:p>
    <w:p w14:paraId="7E10C844" w14:textId="77777777" w:rsidR="001E0183" w:rsidRDefault="001E0183">
      <w:pPr>
        <w:spacing w:after="120"/>
      </w:pPr>
    </w:p>
    <w:p w14:paraId="64DFCF3D" w14:textId="77777777" w:rsidR="001E0183" w:rsidRDefault="00000000">
      <w:pPr>
        <w:spacing w:before="480" w:after="200"/>
      </w:pPr>
      <w:r>
        <w:rPr>
          <w:b/>
          <w:bCs/>
          <w:color w:val="000000"/>
          <w:sz w:val="22"/>
          <w:szCs w:val="22"/>
        </w:rPr>
        <w:t>Referencias del capítulo</w:t>
      </w:r>
    </w:p>
    <w:p w14:paraId="791E3EC8" w14:textId="77777777" w:rsidR="001E0183" w:rsidRPr="00F83098" w:rsidRDefault="00000000">
      <w:pPr>
        <w:spacing w:after="120"/>
        <w:ind w:left="720" w:hanging="720"/>
        <w:jc w:val="both"/>
        <w:rPr>
          <w:lang w:val="en-US"/>
        </w:rPr>
      </w:pPr>
      <w:r>
        <w:rPr>
          <w:color w:val="000000"/>
          <w:sz w:val="20"/>
          <w:szCs w:val="20"/>
        </w:rPr>
        <w:t xml:space="preserve">Fraser, N. (1995). </w:t>
      </w:r>
      <w:r w:rsidRPr="00F83098">
        <w:rPr>
          <w:color w:val="000000"/>
          <w:sz w:val="20"/>
          <w:szCs w:val="20"/>
          <w:lang w:val="en-US"/>
        </w:rPr>
        <w:t>From redistribution to recognition? Dilemmas of justice in a 'post-socialist' age. New Left Review, 212, 68–93.</w:t>
      </w:r>
    </w:p>
    <w:p w14:paraId="185B86E1" w14:textId="77777777" w:rsidR="001E0183" w:rsidRPr="00F83098" w:rsidRDefault="00000000">
      <w:pPr>
        <w:spacing w:after="120"/>
        <w:ind w:left="720" w:hanging="720"/>
        <w:jc w:val="both"/>
        <w:rPr>
          <w:lang w:val="en-US"/>
        </w:rPr>
      </w:pPr>
      <w:r w:rsidRPr="00F83098">
        <w:rPr>
          <w:color w:val="000000"/>
          <w:sz w:val="20"/>
          <w:szCs w:val="20"/>
          <w:lang w:val="en-US"/>
        </w:rPr>
        <w:t>Fraser, N. (2008). Scales of Justice: Reimagining Political Space in a Globalizing World. Columbia University Press.</w:t>
      </w:r>
    </w:p>
    <w:p w14:paraId="0A5221E9" w14:textId="77777777" w:rsidR="001E0183" w:rsidRPr="00F83098" w:rsidRDefault="00000000">
      <w:pPr>
        <w:spacing w:after="120"/>
        <w:ind w:left="720" w:hanging="720"/>
        <w:jc w:val="both"/>
        <w:rPr>
          <w:lang w:val="en-US"/>
        </w:rPr>
      </w:pPr>
      <w:r w:rsidRPr="00F83098">
        <w:rPr>
          <w:color w:val="000000"/>
          <w:sz w:val="20"/>
          <w:szCs w:val="20"/>
          <w:lang w:val="en-US"/>
        </w:rPr>
        <w:t>Galtung, J. (1969). Violence, peace, and peace research. Journal of Peace Research, 6(3), 167–191.</w:t>
      </w:r>
    </w:p>
    <w:p w14:paraId="0BEB95A7" w14:textId="77777777" w:rsidR="001E0183" w:rsidRPr="00F83098" w:rsidRDefault="00000000">
      <w:pPr>
        <w:spacing w:after="120"/>
        <w:ind w:left="720" w:hanging="720"/>
        <w:jc w:val="both"/>
        <w:rPr>
          <w:lang w:val="en-US"/>
        </w:rPr>
      </w:pPr>
      <w:r w:rsidRPr="00F83098">
        <w:rPr>
          <w:color w:val="000000"/>
          <w:sz w:val="20"/>
          <w:szCs w:val="20"/>
          <w:lang w:val="en-US"/>
        </w:rPr>
        <w:t>Galtung, J. (1990). Cultural violence. Journal of Peace Research, 27(3), 291–305.</w:t>
      </w:r>
    </w:p>
    <w:p w14:paraId="67D8EF5F" w14:textId="77777777" w:rsidR="001E0183" w:rsidRPr="00F83098" w:rsidRDefault="00000000">
      <w:pPr>
        <w:spacing w:after="120"/>
        <w:ind w:left="720" w:hanging="720"/>
        <w:jc w:val="both"/>
        <w:rPr>
          <w:lang w:val="en-US"/>
        </w:rPr>
      </w:pPr>
      <w:r w:rsidRPr="00F83098">
        <w:rPr>
          <w:color w:val="000000"/>
          <w:sz w:val="20"/>
          <w:szCs w:val="20"/>
          <w:lang w:val="en-US"/>
        </w:rPr>
        <w:t>Gadamer, H.-G. (1975). Truth and Method. Seabury Press.</w:t>
      </w:r>
    </w:p>
    <w:p w14:paraId="08640933" w14:textId="77777777" w:rsidR="001E0183" w:rsidRPr="00F83098" w:rsidRDefault="00000000">
      <w:pPr>
        <w:spacing w:after="120"/>
        <w:ind w:left="720" w:hanging="720"/>
        <w:jc w:val="both"/>
        <w:rPr>
          <w:lang w:val="en-US"/>
        </w:rPr>
      </w:pPr>
      <w:r w:rsidRPr="00F83098">
        <w:rPr>
          <w:color w:val="000000"/>
          <w:sz w:val="20"/>
          <w:szCs w:val="20"/>
          <w:lang w:val="en-US"/>
        </w:rPr>
        <w:t>Habermas, J. (1984). The Theory of Communicative Action. Vol. 1: Reason and the Rationalization of Society. Beacon Press.</w:t>
      </w:r>
    </w:p>
    <w:p w14:paraId="00C19C68" w14:textId="77777777" w:rsidR="001E0183" w:rsidRDefault="00000000">
      <w:pPr>
        <w:spacing w:after="120"/>
        <w:ind w:left="720" w:hanging="720"/>
        <w:jc w:val="both"/>
      </w:pPr>
      <w:r w:rsidRPr="00F83098">
        <w:rPr>
          <w:color w:val="000000"/>
          <w:sz w:val="20"/>
          <w:szCs w:val="20"/>
          <w:lang w:val="en-US"/>
        </w:rPr>
        <w:t xml:space="preserve">Habermas, J. (1996). Between Facts and Norms: Contributions to a Discourse Theory of Law and Democracy. </w:t>
      </w:r>
      <w:r>
        <w:rPr>
          <w:color w:val="000000"/>
          <w:sz w:val="20"/>
          <w:szCs w:val="20"/>
        </w:rPr>
        <w:t>MIT Press.</w:t>
      </w:r>
    </w:p>
    <w:p w14:paraId="1E9A0212" w14:textId="77777777" w:rsidR="001E0183" w:rsidRDefault="00000000">
      <w:pPr>
        <w:spacing w:after="120"/>
        <w:ind w:left="720" w:hanging="720"/>
        <w:jc w:val="both"/>
      </w:pPr>
      <w:r>
        <w:rPr>
          <w:color w:val="000000"/>
          <w:sz w:val="20"/>
          <w:szCs w:val="20"/>
        </w:rPr>
        <w:t>Human Rights Watch. (2015). El rol de los altos mandos en los falsos positivos: La responsabilidad de mando en Colombia. HRW.</w:t>
      </w:r>
    </w:p>
    <w:p w14:paraId="154E408A" w14:textId="77777777" w:rsidR="001E0183" w:rsidRDefault="00000000">
      <w:pPr>
        <w:spacing w:after="120"/>
        <w:ind w:left="720" w:hanging="720"/>
        <w:jc w:val="both"/>
      </w:pPr>
      <w:r>
        <w:rPr>
          <w:color w:val="000000"/>
          <w:sz w:val="20"/>
          <w:szCs w:val="20"/>
        </w:rPr>
        <w:t>JEP — Jurisdicción Especial para la Paz. (2021). Auto No. 125 de 2021 — Caso 03, Subcaso Norte de Santander. Sala de Reconocimiento de Verdad.</w:t>
      </w:r>
    </w:p>
    <w:p w14:paraId="760E9E7F" w14:textId="77777777" w:rsidR="001E0183" w:rsidRPr="00F83098" w:rsidRDefault="00000000">
      <w:pPr>
        <w:spacing w:after="120"/>
        <w:ind w:left="720" w:hanging="720"/>
        <w:jc w:val="both"/>
        <w:rPr>
          <w:lang w:val="en-US"/>
        </w:rPr>
      </w:pPr>
      <w:r>
        <w:rPr>
          <w:color w:val="000000"/>
          <w:sz w:val="20"/>
          <w:szCs w:val="20"/>
        </w:rPr>
        <w:t xml:space="preserve">JEP — Jurisdicción Especial para la Paz. (2022). Resolución de Conclusiones No. 01 de 2022 — Caso 03, Subcaso Norte de Santander. </w:t>
      </w:r>
      <w:r w:rsidRPr="00F83098">
        <w:rPr>
          <w:color w:val="000000"/>
          <w:sz w:val="20"/>
          <w:szCs w:val="20"/>
          <w:lang w:val="en-US"/>
        </w:rPr>
        <w:t>Sala de Reconocimiento de Verdad.</w:t>
      </w:r>
    </w:p>
    <w:p w14:paraId="29E364B6" w14:textId="77777777" w:rsidR="001E0183" w:rsidRPr="00F83098" w:rsidRDefault="00000000">
      <w:pPr>
        <w:spacing w:after="120"/>
        <w:ind w:left="720" w:hanging="720"/>
        <w:jc w:val="both"/>
        <w:rPr>
          <w:lang w:val="en-US"/>
        </w:rPr>
      </w:pPr>
      <w:r w:rsidRPr="00F83098">
        <w:rPr>
          <w:color w:val="000000"/>
          <w:sz w:val="20"/>
          <w:szCs w:val="20"/>
          <w:lang w:val="en-US"/>
        </w:rPr>
        <w:t>Kline, R. B. (2023). Principles and Practice of Structural Equation Modeling (5.ª ed.). Guilford Press.</w:t>
      </w:r>
    </w:p>
    <w:p w14:paraId="139B7203" w14:textId="77777777" w:rsidR="001E0183" w:rsidRPr="00F83098" w:rsidRDefault="00000000">
      <w:pPr>
        <w:spacing w:after="120"/>
        <w:ind w:left="720" w:hanging="720"/>
        <w:jc w:val="both"/>
        <w:rPr>
          <w:lang w:val="en-US"/>
        </w:rPr>
      </w:pPr>
      <w:r w:rsidRPr="00F83098">
        <w:rPr>
          <w:color w:val="000000"/>
          <w:sz w:val="20"/>
          <w:szCs w:val="20"/>
          <w:lang w:val="en-US"/>
        </w:rPr>
        <w:t>Lafont, C. (1999). The Linguistic Turn in Hermeneutic Philosophy. MIT Press.</w:t>
      </w:r>
    </w:p>
    <w:p w14:paraId="4D71930A" w14:textId="77777777" w:rsidR="001E0183" w:rsidRPr="00F83098" w:rsidRDefault="00000000">
      <w:pPr>
        <w:spacing w:after="120"/>
        <w:ind w:left="720" w:hanging="720"/>
        <w:jc w:val="both"/>
        <w:rPr>
          <w:lang w:val="en-US"/>
        </w:rPr>
      </w:pPr>
      <w:r w:rsidRPr="00F83098">
        <w:rPr>
          <w:color w:val="000000"/>
          <w:sz w:val="20"/>
          <w:szCs w:val="20"/>
          <w:lang w:val="en-US"/>
        </w:rPr>
        <w:t>Van Dijk, T. A. (2008). Discourse and Power. Palgrave Macmillan.</w:t>
      </w:r>
    </w:p>
    <w:p w14:paraId="1922B815" w14:textId="77777777" w:rsidR="001E0183" w:rsidRDefault="00000000">
      <w:pPr>
        <w:spacing w:after="120"/>
        <w:ind w:left="720" w:hanging="720"/>
        <w:jc w:val="both"/>
      </w:pPr>
      <w:r>
        <w:rPr>
          <w:color w:val="000000"/>
          <w:sz w:val="20"/>
          <w:szCs w:val="20"/>
        </w:rPr>
        <w:t xml:space="preserve">Yang, W., Salam, M. A., Alhelbawy, A., El-Beltagy, S., y Zubiaga, A. (2023). </w:t>
      </w:r>
      <w:r w:rsidRPr="00F83098">
        <w:rPr>
          <w:color w:val="000000"/>
          <w:sz w:val="20"/>
          <w:szCs w:val="20"/>
          <w:lang w:val="en-US"/>
        </w:rPr>
        <w:t xml:space="preserve">ConfliBERT: A Pre-trained Language Model for Political Conflict and Violence. </w:t>
      </w:r>
      <w:r>
        <w:rPr>
          <w:color w:val="000000"/>
          <w:sz w:val="20"/>
          <w:szCs w:val="20"/>
        </w:rPr>
        <w:t>Proceedings of IEEE CiSt 2023.</w:t>
      </w:r>
    </w:p>
    <w:sectPr w:rsidR="001E0183">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5EEC5" w14:textId="77777777" w:rsidR="00ED4029" w:rsidRDefault="00ED4029">
      <w:r>
        <w:separator/>
      </w:r>
    </w:p>
  </w:endnote>
  <w:endnote w:type="continuationSeparator" w:id="0">
    <w:p w14:paraId="15FD8556" w14:textId="77777777" w:rsidR="00ED4029" w:rsidRDefault="00ED4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A3C1E" w14:textId="77777777" w:rsidR="001E0183" w:rsidRDefault="00000000">
    <w:pPr>
      <w:jc w:val="center"/>
    </w:pPr>
    <w:r>
      <w:fldChar w:fldCharType="begin"/>
    </w:r>
    <w:r>
      <w:instrText>PAGE</w:instrText>
    </w:r>
    <w:r>
      <w:fldChar w:fldCharType="separate"/>
    </w:r>
    <w:r w:rsidR="00F830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F5751" w14:textId="77777777" w:rsidR="00ED4029" w:rsidRDefault="00ED4029">
      <w:r>
        <w:separator/>
      </w:r>
    </w:p>
  </w:footnote>
  <w:footnote w:type="continuationSeparator" w:id="0">
    <w:p w14:paraId="2B6CA720" w14:textId="77777777" w:rsidR="00ED4029" w:rsidRDefault="00ED4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7B282" w14:textId="77777777" w:rsidR="001E0183"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A3D70"/>
    <w:multiLevelType w:val="hybridMultilevel"/>
    <w:tmpl w:val="7C949AA6"/>
    <w:lvl w:ilvl="0" w:tplc="3A426AAE">
      <w:start w:val="1"/>
      <w:numFmt w:val="bullet"/>
      <w:lvlText w:val="●"/>
      <w:lvlJc w:val="left"/>
      <w:pPr>
        <w:ind w:left="720" w:hanging="360"/>
      </w:pPr>
    </w:lvl>
    <w:lvl w:ilvl="1" w:tplc="FB84B388">
      <w:start w:val="1"/>
      <w:numFmt w:val="bullet"/>
      <w:lvlText w:val="○"/>
      <w:lvlJc w:val="left"/>
      <w:pPr>
        <w:ind w:left="1440" w:hanging="360"/>
      </w:pPr>
    </w:lvl>
    <w:lvl w:ilvl="2" w:tplc="E71E29DC">
      <w:start w:val="1"/>
      <w:numFmt w:val="bullet"/>
      <w:lvlText w:val="■"/>
      <w:lvlJc w:val="left"/>
      <w:pPr>
        <w:ind w:left="2160" w:hanging="360"/>
      </w:pPr>
    </w:lvl>
    <w:lvl w:ilvl="3" w:tplc="41E8D27A">
      <w:start w:val="1"/>
      <w:numFmt w:val="bullet"/>
      <w:lvlText w:val="●"/>
      <w:lvlJc w:val="left"/>
      <w:pPr>
        <w:ind w:left="2880" w:hanging="360"/>
      </w:pPr>
    </w:lvl>
    <w:lvl w:ilvl="4" w:tplc="420E9B80">
      <w:start w:val="1"/>
      <w:numFmt w:val="bullet"/>
      <w:lvlText w:val="○"/>
      <w:lvlJc w:val="left"/>
      <w:pPr>
        <w:ind w:left="3600" w:hanging="360"/>
      </w:pPr>
    </w:lvl>
    <w:lvl w:ilvl="5" w:tplc="25EAD164">
      <w:start w:val="1"/>
      <w:numFmt w:val="bullet"/>
      <w:lvlText w:val="■"/>
      <w:lvlJc w:val="left"/>
      <w:pPr>
        <w:ind w:left="4320" w:hanging="360"/>
      </w:pPr>
    </w:lvl>
    <w:lvl w:ilvl="6" w:tplc="A8068B66">
      <w:start w:val="1"/>
      <w:numFmt w:val="bullet"/>
      <w:lvlText w:val="●"/>
      <w:lvlJc w:val="left"/>
      <w:pPr>
        <w:ind w:left="5040" w:hanging="360"/>
      </w:pPr>
    </w:lvl>
    <w:lvl w:ilvl="7" w:tplc="5D5C102C">
      <w:start w:val="1"/>
      <w:numFmt w:val="bullet"/>
      <w:lvlText w:val="●"/>
      <w:lvlJc w:val="left"/>
      <w:pPr>
        <w:ind w:left="5760" w:hanging="360"/>
      </w:pPr>
    </w:lvl>
    <w:lvl w:ilvl="8" w:tplc="EC7E3D0C">
      <w:start w:val="1"/>
      <w:numFmt w:val="bullet"/>
      <w:lvlText w:val="●"/>
      <w:lvlJc w:val="left"/>
      <w:pPr>
        <w:ind w:left="6480" w:hanging="360"/>
      </w:pPr>
    </w:lvl>
  </w:abstractNum>
  <w:abstractNum w:abstractNumId="1" w15:restartNumberingAfterBreak="0">
    <w:nsid w:val="4B7059C3"/>
    <w:multiLevelType w:val="hybridMultilevel"/>
    <w:tmpl w:val="8B28F314"/>
    <w:lvl w:ilvl="0" w:tplc="ED965A0A">
      <w:start w:val="1"/>
      <w:numFmt w:val="bullet"/>
      <w:lvlText w:val="•"/>
      <w:lvlJc w:val="left"/>
      <w:pPr>
        <w:ind w:left="720" w:hanging="360"/>
      </w:pPr>
    </w:lvl>
    <w:lvl w:ilvl="1" w:tplc="B3A67B9C">
      <w:numFmt w:val="decimal"/>
      <w:lvlText w:val=""/>
      <w:lvlJc w:val="left"/>
    </w:lvl>
    <w:lvl w:ilvl="2" w:tplc="7F182372">
      <w:numFmt w:val="decimal"/>
      <w:lvlText w:val=""/>
      <w:lvlJc w:val="left"/>
    </w:lvl>
    <w:lvl w:ilvl="3" w:tplc="1ED07414">
      <w:numFmt w:val="decimal"/>
      <w:lvlText w:val=""/>
      <w:lvlJc w:val="left"/>
    </w:lvl>
    <w:lvl w:ilvl="4" w:tplc="BDC23A28">
      <w:numFmt w:val="decimal"/>
      <w:lvlText w:val=""/>
      <w:lvlJc w:val="left"/>
    </w:lvl>
    <w:lvl w:ilvl="5" w:tplc="8EC4811E">
      <w:numFmt w:val="decimal"/>
      <w:lvlText w:val=""/>
      <w:lvlJc w:val="left"/>
    </w:lvl>
    <w:lvl w:ilvl="6" w:tplc="F7145A58">
      <w:numFmt w:val="decimal"/>
      <w:lvlText w:val=""/>
      <w:lvlJc w:val="left"/>
    </w:lvl>
    <w:lvl w:ilvl="7" w:tplc="558C703E">
      <w:numFmt w:val="decimal"/>
      <w:lvlText w:val=""/>
      <w:lvlJc w:val="left"/>
    </w:lvl>
    <w:lvl w:ilvl="8" w:tplc="6152FCA0">
      <w:numFmt w:val="decimal"/>
      <w:lvlText w:val=""/>
      <w:lvlJc w:val="left"/>
    </w:lvl>
  </w:abstractNum>
  <w:num w:numId="1" w16cid:durableId="488640655">
    <w:abstractNumId w:val="0"/>
    <w:lvlOverride w:ilvl="0">
      <w:startOverride w:val="1"/>
    </w:lvlOverride>
  </w:num>
  <w:num w:numId="2" w16cid:durableId="2593357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183"/>
    <w:rsid w:val="001E0183"/>
    <w:rsid w:val="00391810"/>
    <w:rsid w:val="00ED4029"/>
    <w:rsid w:val="00F830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2491F"/>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semiHidden/>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3242</Words>
  <Characters>17833</Characters>
  <Application>Microsoft Office Word</Application>
  <DocSecurity>0</DocSecurity>
  <Lines>148</Lines>
  <Paragraphs>42</Paragraphs>
  <ScaleCrop>false</ScaleCrop>
  <Company/>
  <LinksUpToDate>false</LinksUpToDate>
  <CharactersWithSpaces>21033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3</cp:revision>
  <dcterms:created xsi:type="dcterms:W3CDTF">2026-04-04T00:34:00Z</dcterms:created>
  <dcterms:modified xsi:type="dcterms:W3CDTF">2026-04-04T00:35:00Z</dcterms:modified>
</cp:coreProperties>
</file>