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16D6C" w14:textId="77777777" w:rsidR="00003BA8" w:rsidRDefault="00000000">
      <w:pPr>
        <w:pStyle w:val="Ttulo1"/>
      </w:pPr>
      <w:r>
        <w:t>6. Discusión y conclusiones</w:t>
      </w:r>
    </w:p>
    <w:p w14:paraId="529FAB37" w14:textId="77777777" w:rsidR="00003BA8" w:rsidRDefault="00000000">
      <w:pPr>
        <w:spacing w:after="200" w:line="360" w:lineRule="auto"/>
        <w:ind w:firstLine="720"/>
        <w:jc w:val="both"/>
      </w:pPr>
      <w:r>
        <w:rPr>
          <w:color w:val="000000"/>
        </w:rPr>
        <w:t>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14:paraId="527834CC" w14:textId="77777777" w:rsidR="00003BA8" w:rsidRDefault="00003BA8">
      <w:pPr>
        <w:spacing w:after="120"/>
      </w:pPr>
    </w:p>
    <w:p w14:paraId="688E4B73" w14:textId="77777777" w:rsidR="00003BA8" w:rsidRDefault="00000000">
      <w:pPr>
        <w:pStyle w:val="Ttulo2"/>
      </w:pPr>
      <w:r>
        <w:t>6.1 Discusión de los hallazgos</w:t>
      </w:r>
    </w:p>
    <w:p w14:paraId="35F176B6" w14:textId="77777777" w:rsidR="00003BA8" w:rsidRDefault="00000000">
      <w:pPr>
        <w:pStyle w:val="Ttulo3"/>
      </w:pPr>
      <w:r>
        <w:t>6.1.1 La brecha discursiva: confirmación parcial de H₃</w:t>
      </w:r>
    </w:p>
    <w:p w14:paraId="0B63E83B" w14:textId="77777777" w:rsidR="00003BA8" w:rsidRDefault="00000000">
      <w:pPr>
        <w:spacing w:after="200" w:line="360" w:lineRule="auto"/>
        <w:ind w:firstLine="720"/>
        <w:jc w:val="both"/>
      </w:pPr>
      <w:r>
        <w:rPr>
          <w:color w:val="000000"/>
        </w:rPr>
        <w:t>El primer hallazgo central es que el REP Score del Corpus B (JEP, media=0.153) es significativamente mayor que el del Corpus A (justicia ordinaria, media=0.086), con una brecha de +0.067 y p&lt;0.001. Adicionalmente, el Corpus B está significativamente más cercano al lenguaje de MAFAPO (y₈: 0.191 vs 0.211, p&lt;0.001) y al lenguaje de la CIDH (y₉: 0.235 vs 0.254, p&lt;0.001). La convergencia de cuatro indicadores independientes con p&lt;0.001 en la misma dirección constituye evidencia robusta de la brecha discursiva entre los dos sistemas de justicia.</w:t>
      </w:r>
    </w:p>
    <w:p w14:paraId="12D0D72F" w14:textId="77777777" w:rsidR="00003BA8" w:rsidRDefault="00000000">
      <w:pPr>
        <w:spacing w:after="200" w:line="360" w:lineRule="auto"/>
        <w:ind w:firstLine="720"/>
        <w:jc w:val="both"/>
      </w:pPr>
      <w:r>
        <w:rPr>
          <w:color w:val="000000"/>
        </w:rPr>
        <w:t>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14:paraId="70DBDEF1" w14:textId="77777777" w:rsidR="00003BA8" w:rsidRDefault="00000000">
      <w:pPr>
        <w:pStyle w:val="Ttulo3"/>
      </w:pPr>
      <w:r>
        <w:t>6.1.2 El predictor principal: distancia léxico-civil</w:t>
      </w:r>
    </w:p>
    <w:p w14:paraId="3E04BE95" w14:textId="77777777" w:rsidR="00003BA8" w:rsidRDefault="00000000">
      <w:pPr>
        <w:spacing w:after="200" w:line="360" w:lineRule="auto"/>
        <w:ind w:firstLine="720"/>
        <w:jc w:val="both"/>
      </w:pPr>
      <w:r>
        <w:rPr>
          <w:color w:val="000000"/>
        </w:rPr>
        <w:lastRenderedPageBreak/>
        <w:t>El análisis de senderos (§5.7.2) produjo un hallazgo no anticipado por el marco teórico original: y₃ distancia léxico-civil es el predictor más fuerte de los tres outcomes de transición epistémica (β=−5.337 para REP, p&lt;0.001), con un efecto significativamente mayor que y₂ SA (β=+0.095) y y₄ NV (β=+0.058). Este resultado invierte la jerarquía teórica implícita del modelo CFH, donde los mecanismos de encubrimiento (EBI, SA, NV) eran considerados los predictores primarios de la brecha discursiva.</w:t>
      </w:r>
    </w:p>
    <w:p w14:paraId="57103DDB" w14:textId="77777777" w:rsidR="00003BA8" w:rsidRDefault="00000000">
      <w:pPr>
        <w:spacing w:after="200" w:line="360" w:lineRule="auto"/>
        <w:ind w:firstLine="720"/>
        <w:jc w:val="both"/>
      </w:pPr>
      <w:r>
        <w:rPr>
          <w:color w:val="000000"/>
        </w:rPr>
        <w:t>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14:paraId="2521F1B2" w14:textId="77777777" w:rsidR="00003BA8" w:rsidRDefault="00000000">
      <w:pPr>
        <w:pStyle w:val="Ttulo3"/>
      </w:pPr>
      <w:r>
        <w:t>6.1.3 CFH-BERT v2: aprendizaje con datos escasos</w:t>
      </w:r>
    </w:p>
    <w:p w14:paraId="22420C2A" w14:textId="77777777" w:rsidR="00003BA8" w:rsidRDefault="00000000">
      <w:pPr>
        <w:spacing w:after="200" w:line="360" w:lineRule="auto"/>
        <w:ind w:firstLine="720"/>
        <w:jc w:val="both"/>
      </w:pPr>
      <w:r>
        <w:rPr>
          <w:color w:val="000000"/>
        </w:rPr>
        <w:t>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14:paraId="5AD95A35" w14:textId="77777777" w:rsidR="00003BA8" w:rsidRDefault="00000000">
      <w:pPr>
        <w:spacing w:after="200" w:line="360" w:lineRule="auto"/>
        <w:ind w:firstLine="720"/>
        <w:jc w:val="both"/>
      </w:pPr>
      <w:r>
        <w:rPr>
          <w:color w:val="000000"/>
        </w:rPr>
        <w:t>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14:paraId="5F6690DF" w14:textId="77777777" w:rsidR="00003BA8" w:rsidRDefault="00000000">
      <w:pPr>
        <w:pStyle w:val="Ttulo3"/>
      </w:pPr>
      <w:r>
        <w:lastRenderedPageBreak/>
        <w:t>6.1.4 El NV cuestionado y el metalenguaje citativo</w:t>
      </w:r>
    </w:p>
    <w:p w14:paraId="7CD0B13F" w14:textId="77777777" w:rsidR="00003BA8" w:rsidRDefault="00000000">
      <w:pPr>
        <w:spacing w:after="200" w:line="360" w:lineRule="auto"/>
        <w:ind w:firstLine="720"/>
        <w:jc w:val="both"/>
      </w:pPr>
      <w:r>
        <w:rPr>
          <w:color w:val="000000"/>
        </w:rPr>
        <w:t>La sección RECONOCIMIENTO del Corpus B presenta el REP más alto (0.191) pero también el NV más alto del Corpus B (0.316). Este aparente paradoja se explica por el metalenguaje citativo: los comparecientes citan el vocabulario NV original para refutarlo. La coexistencia de REP y NV en el mismo segmento — confirmada por el coeficiente positivo de NV sobre REP en el path analysis (β=+0.058, p=0.004) — es evidencia empírica de este fenómeno.</w:t>
      </w:r>
    </w:p>
    <w:p w14:paraId="6D2CAFDA" w14:textId="77777777" w:rsidR="00003BA8" w:rsidRDefault="00000000">
      <w:pPr>
        <w:pStyle w:val="Ttulo3"/>
      </w:pPr>
      <w:r>
        <w:t>6.1.5 La supresión de agentividad como convención jurídica</w:t>
      </w:r>
    </w:p>
    <w:p w14:paraId="666322AC" w14:textId="77777777" w:rsidR="00003BA8" w:rsidRDefault="00000000">
      <w:pPr>
        <w:spacing w:after="200" w:line="360" w:lineRule="auto"/>
        <w:ind w:firstLine="720"/>
        <w:jc w:val="both"/>
      </w:pPr>
      <w:r>
        <w:rPr>
          <w:color w:val="000000"/>
        </w:rPr>
        <w:t>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14:paraId="043610A8" w14:textId="77777777" w:rsidR="00003BA8" w:rsidRDefault="00000000">
      <w:pPr>
        <w:pStyle w:val="Ttulo3"/>
      </w:pPr>
      <w:r>
        <w:t>6.1.6 Corpus C oral vs Corpus B escrito</w:t>
      </w:r>
    </w:p>
    <w:p w14:paraId="2929AD49" w14:textId="77777777" w:rsidR="00003BA8" w:rsidRDefault="00000000">
      <w:pPr>
        <w:spacing w:after="200" w:line="360" w:lineRule="auto"/>
        <w:ind w:firstLine="720"/>
        <w:jc w:val="both"/>
      </w:pPr>
      <w:r>
        <w:rPr>
          <w:color w:val="000000"/>
        </w:rPr>
        <w:t>El Corpus C (JEP oral, 45.9 horas) presenta un patrón asimétrico respecto al Corpus B escrito: la distancia MAFAPO (y₈) es idéntica en ambos (0.191), pero la distancia CIDH (y₉) es mayor en el oral (0.263) que en el escrito (0.235). El lenguaje de las audiencias orales es igualmente cercano al lenguaje de las víctimas pero más alejado del lenguaje técnico-jurídico del DIH. Esto tiene sentido: los autos escritos fueron redactados por juristas especializados en DIH, mientras que las audiencias orales incluyen el lenguaje coloquial de los comparecientes. El análisis completo por hablante — pendiente de la diarización con pyannote — permitirá desagregar este resultado entre la voz de la Sala, los comparecientes y las víctimas.</w:t>
      </w:r>
    </w:p>
    <w:p w14:paraId="3EE9A276" w14:textId="77777777" w:rsidR="00003BA8" w:rsidRDefault="00003BA8">
      <w:pPr>
        <w:spacing w:after="120"/>
      </w:pPr>
    </w:p>
    <w:p w14:paraId="240A53A6" w14:textId="77777777" w:rsidR="00003BA8" w:rsidRDefault="00000000">
      <w:pPr>
        <w:pStyle w:val="Ttulo2"/>
      </w:pPr>
      <w:r>
        <w:t>6.2 Respuesta a cuestionamientos anticipados</w:t>
      </w:r>
    </w:p>
    <w:p w14:paraId="3B37C56C" w14:textId="77777777" w:rsidR="00003BA8" w:rsidRDefault="00000000">
      <w:pPr>
        <w:pStyle w:val="Ttulo3"/>
      </w:pPr>
      <w:r>
        <w:lastRenderedPageBreak/>
        <w:t>6.2.1 ¿La JEP está obligada por mandato a producir REP?</w:t>
      </w:r>
    </w:p>
    <w:p w14:paraId="659D89F6" w14:textId="77777777" w:rsidR="00003BA8" w:rsidRDefault="00000000">
      <w:pPr>
        <w:spacing w:after="200" w:line="360" w:lineRule="auto"/>
        <w:ind w:firstLine="720"/>
        <w:jc w:val="both"/>
      </w:pPr>
      <w:r>
        <w:rPr>
          <w:color w:val="000000"/>
        </w:rPr>
        <w:t>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14:paraId="67C29861" w14:textId="77777777" w:rsidR="00003BA8" w:rsidRDefault="00000000">
      <w:pPr>
        <w:pStyle w:val="Ttulo3"/>
      </w:pPr>
      <w:r>
        <w:t>6.2.2 ¿Los géneros textuales son comparables?</w:t>
      </w:r>
    </w:p>
    <w:p w14:paraId="2F5C9E4D" w14:textId="77777777" w:rsidR="00003BA8" w:rsidRDefault="00000000">
      <w:pPr>
        <w:spacing w:after="200" w:line="360" w:lineRule="auto"/>
        <w:ind w:firstLine="720"/>
        <w:jc w:val="both"/>
      </w:pPr>
      <w:r>
        <w:rPr>
          <w:color w:val="000000"/>
        </w:rPr>
        <w:t>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14:paraId="0F31BA61" w14:textId="77777777" w:rsidR="00003BA8" w:rsidRDefault="00000000">
      <w:pPr>
        <w:pStyle w:val="Ttulo3"/>
      </w:pPr>
      <w:r>
        <w:t>6.2.3 ¿La brecha es temporal, no estructural?</w:t>
      </w:r>
    </w:p>
    <w:p w14:paraId="01C7DCE1" w14:textId="77777777" w:rsidR="00003BA8" w:rsidRDefault="00000000">
      <w:pPr>
        <w:spacing w:after="200" w:line="360" w:lineRule="auto"/>
        <w:ind w:firstLine="720"/>
        <w:jc w:val="both"/>
      </w:pPr>
      <w:r>
        <w:rPr>
          <w:color w:val="000000"/>
        </w:rPr>
        <w:t>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14:paraId="6B715BB5" w14:textId="77777777" w:rsidR="00003BA8" w:rsidRDefault="00000000">
      <w:pPr>
        <w:pStyle w:val="Ttulo3"/>
      </w:pPr>
      <w:r>
        <w:t>6.2.4 ¿El SEM no converge?</w:t>
      </w:r>
    </w:p>
    <w:p w14:paraId="76D822E4" w14:textId="77777777" w:rsidR="00003BA8" w:rsidRDefault="00000000">
      <w:pPr>
        <w:spacing w:after="200" w:line="360" w:lineRule="auto"/>
        <w:ind w:firstLine="720"/>
        <w:jc w:val="both"/>
      </w:pPr>
      <w:r>
        <w:rPr>
          <w:color w:val="000000"/>
        </w:rPr>
        <w:t xml:space="preserve">El modelo SEM completo requiere y₇ como indicador de eta1 para ser identificable — esto es una limitación técnica reportada con transparencia, no un fracaso oculto. El path analysis exploratorio (CFI=0.619, RMSEA=0.437) es el mejor modelo estimable con los indicadores disponibles y produce coeficientes </w:t>
      </w:r>
      <w:r>
        <w:rPr>
          <w:color w:val="000000"/>
        </w:rPr>
        <w:lastRenderedPageBreak/>
        <w:t>interpretables y estadísticamente significativos. El modelo SEM definitivo se estimará con y₇ una vez disponible CFH-BERT fine-tuned sobre el corpus anotado completo.</w:t>
      </w:r>
    </w:p>
    <w:p w14:paraId="5CBF8A93" w14:textId="77777777" w:rsidR="00003BA8" w:rsidRDefault="00003BA8">
      <w:pPr>
        <w:spacing w:after="120"/>
      </w:pPr>
    </w:p>
    <w:p w14:paraId="3B340C15" w14:textId="77777777" w:rsidR="00003BA8" w:rsidRDefault="00000000">
      <w:pPr>
        <w:pStyle w:val="Ttulo2"/>
      </w:pPr>
      <w:r>
        <w:t>6.3 Limitaciones de la investigación</w:t>
      </w:r>
    </w:p>
    <w:p w14:paraId="56C063EF" w14:textId="77777777" w:rsidR="00003BA8" w:rsidRDefault="00000000">
      <w:pPr>
        <w:pStyle w:val="Ttulo3"/>
      </w:pPr>
      <w:r>
        <w:t>6.3.1 Limitaciones del corpus</w:t>
      </w:r>
    </w:p>
    <w:p w14:paraId="2DC6ADA7" w14:textId="77777777" w:rsidR="00003BA8" w:rsidRDefault="00000000">
      <w:pPr>
        <w:spacing w:after="200" w:line="360" w:lineRule="auto"/>
        <w:ind w:firstLine="720"/>
        <w:jc w:val="both"/>
      </w:pPr>
      <w:r>
        <w:rPr>
          <w:color w:val="000000"/>
        </w:rPr>
        <w:t>La principal limitación es el desequilibrio entre Corpus A (n=819) y Corpus B (n=54). El Corpus C amplía el análisis al registro oral pero su análisis completo requiere diarización de hablantes — pendiente de pyannote-audio. Un segundo problema es la presencia de secciones mal etiquetadas en los metadatos originales, corregido en el pipeline pero indicativo de la complejidad del corpus.</w:t>
      </w:r>
    </w:p>
    <w:p w14:paraId="3A00B3BD" w14:textId="77777777" w:rsidR="00003BA8" w:rsidRDefault="00000000">
      <w:pPr>
        <w:pStyle w:val="Ttulo3"/>
      </w:pPr>
      <w:r>
        <w:t>6.3.2 Limitaciones de los extractores</w:t>
      </w:r>
    </w:p>
    <w:p w14:paraId="47FC2BDB" w14:textId="77777777" w:rsidR="00003BA8" w:rsidRDefault="00000000">
      <w:pPr>
        <w:spacing w:after="200" w:line="360" w:lineRule="auto"/>
        <w:ind w:firstLine="720"/>
        <w:jc w:val="both"/>
      </w:pPr>
      <w:r>
        <w:rPr>
          <w:color w:val="000000"/>
        </w:rPr>
        <w:t>Los extractores léxico-sintácticos y₂-y₄ e y₁₀ fueron construidos sin fine-tuning supervisado. CFH-BERT v2 mejora significativamente sobre v1 (F1 macro: 0.27 → 0.58) pero sigue siendo un modelo piloto con 100 anotaciones. La versión definitiva requiere κ&gt;0.80 sobre al menos 500 fragmentos. El extractor y₁ EBI mantiene score=0.0 en todos los documentos — el fine-tuning supervisado es la tarea técnica más crítica pendiente.</w:t>
      </w:r>
    </w:p>
    <w:p w14:paraId="302B545D" w14:textId="77777777" w:rsidR="00003BA8" w:rsidRDefault="00000000">
      <w:pPr>
        <w:pStyle w:val="Ttulo3"/>
      </w:pPr>
      <w:r>
        <w:t>6.3.3 Limitaciones estadísticas</w:t>
      </w:r>
    </w:p>
    <w:p w14:paraId="09504B88" w14:textId="77777777" w:rsidR="00003BA8" w:rsidRDefault="00000000">
      <w:pPr>
        <w:spacing w:after="200" w:line="360" w:lineRule="auto"/>
        <w:ind w:firstLine="720"/>
        <w:jc w:val="both"/>
      </w:pPr>
      <w:r>
        <w:rPr>
          <w:color w:val="000000"/>
        </w:rPr>
        <w:t>El test Mann-Whitney U tiene el supuesto de independencia de observaciones parcialmente comprometido por la estructura anidada del corpus. El path analysis exploratorio tiene ajuste moderado (CFI=0.619) — aceptable para análisis exploratorio pero no definitivo. El modelo SEM con variables latentes no fue estimable con los indicadores disponibles.</w:t>
      </w:r>
    </w:p>
    <w:p w14:paraId="686E486A" w14:textId="77777777" w:rsidR="00003BA8" w:rsidRDefault="00000000">
      <w:pPr>
        <w:pStyle w:val="Ttulo3"/>
      </w:pPr>
      <w:r>
        <w:t>6.3.4 Limitaciones epistemológicas y éticas</w:t>
      </w:r>
    </w:p>
    <w:p w14:paraId="69DD0A8F" w14:textId="77777777" w:rsidR="00003BA8" w:rsidRDefault="00000000">
      <w:pPr>
        <w:spacing w:after="200" w:line="360" w:lineRule="auto"/>
        <w:ind w:firstLine="720"/>
        <w:jc w:val="both"/>
      </w:pPr>
      <w:r>
        <w:rPr>
          <w:color w:val="000000"/>
        </w:rPr>
        <w:lastRenderedPageBreak/>
        <w:t>Una limitación epistemológica es que la brecha en REP léxico es parcialmente temporal — los documentos recientes del CE también tienen mayor REP. La brecha semántica profunda (y₈, y₉) es estructural, pero el REP léxico requiere interpretación cuidadosa.</w:t>
      </w:r>
    </w:p>
    <w:p w14:paraId="5FEAFA0C" w14:textId="77777777" w:rsidR="00003BA8" w:rsidRDefault="00000000">
      <w:pPr>
        <w:spacing w:after="200" w:line="360" w:lineRule="auto"/>
        <w:ind w:firstLine="720"/>
        <w:jc w:val="both"/>
      </w:pPr>
      <w:r>
        <w:rPr>
          <w:color w:val="000000"/>
        </w:rPr>
        <w:t>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14:paraId="54877FFD" w14:textId="77777777" w:rsidR="00003BA8" w:rsidRDefault="00003BA8">
      <w:pPr>
        <w:spacing w:after="120"/>
      </w:pPr>
    </w:p>
    <w:p w14:paraId="6D4600BF" w14:textId="77777777" w:rsidR="00003BA8" w:rsidRDefault="00000000">
      <w:pPr>
        <w:pStyle w:val="Ttulo2"/>
      </w:pPr>
      <w:r>
        <w:t>6.4 Líneas de trabajo futuro</w:t>
      </w:r>
    </w:p>
    <w:p w14:paraId="3197988C" w14:textId="77777777" w:rsidR="00003BA8" w:rsidRDefault="00000000">
      <w:pPr>
        <w:spacing w:after="200" w:line="360" w:lineRule="auto"/>
        <w:ind w:firstLine="720"/>
        <w:jc w:val="both"/>
      </w:pPr>
      <w:r>
        <w:rPr>
          <w:b/>
          <w:bCs/>
          <w:color w:val="000000"/>
        </w:rPr>
        <w:t xml:space="preserve">Corto plazo (antes de agosto 2026): </w:t>
      </w:r>
      <w:r>
        <w:rPr>
          <w:color w:val="000000"/>
        </w:rPr>
        <w:t>completar la anotación con segundo anotador IAA (κ &gt; 0.80) sobre 500 fragmentos para CFH-BERT v2 definitivo. Completar la diarización del Corpus C con pyannote-audio para separar las voces de comparecientes, magistrados y víctimas. Estimar el modelo SEM completo con y₇ una vez disponible CFH-BERT fine-tuned. Desarrollar el lexicón de REP procesal vs. REP epistémico para responder el cuestionamiento del mandato normativo.</w:t>
      </w:r>
    </w:p>
    <w:p w14:paraId="1FC401C3" w14:textId="77777777" w:rsidR="00003BA8" w:rsidRDefault="00000000">
      <w:pPr>
        <w:spacing w:after="200" w:line="360" w:lineRule="auto"/>
        <w:ind w:firstLine="720"/>
        <w:jc w:val="both"/>
      </w:pPr>
      <w:r>
        <w:rPr>
          <w:b/>
          <w:bCs/>
          <w:color w:val="000000"/>
        </w:rPr>
        <w:t xml:space="preserve">Mediano plazo (2026-2027): </w:t>
      </w:r>
      <w:r>
        <w:rPr>
          <w:color w:val="000000"/>
        </w:rPr>
        <w:t>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w:t>
      </w:r>
    </w:p>
    <w:p w14:paraId="3D845395" w14:textId="77777777" w:rsidR="00003BA8" w:rsidRDefault="00000000">
      <w:pPr>
        <w:spacing w:after="200" w:line="360" w:lineRule="auto"/>
        <w:ind w:firstLine="720"/>
        <w:jc w:val="both"/>
      </w:pPr>
      <w:r>
        <w:rPr>
          <w:b/>
          <w:bCs/>
          <w:color w:val="000000"/>
        </w:rPr>
        <w:lastRenderedPageBreak/>
        <w:t xml:space="preserve">Largo plazo: </w:t>
      </w:r>
      <w:r>
        <w:rPr>
          <w:color w:val="000000"/>
        </w:rPr>
        <w:t>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14:paraId="18874862" w14:textId="77777777" w:rsidR="00003BA8" w:rsidRDefault="00000000">
      <w:pPr>
        <w:spacing w:after="200" w:line="360" w:lineRule="auto"/>
        <w:ind w:firstLine="720"/>
        <w:jc w:val="both"/>
      </w:pPr>
      <w:r>
        <w:rPr>
          <w:b/>
          <w:bCs/>
          <w:color w:val="000000"/>
        </w:rPr>
        <w:t xml:space="preserve">Aplicaciones de política pública: </w:t>
      </w:r>
      <w:r>
        <w:rPr>
          <w:color w:val="000000"/>
        </w:rPr>
        <w:t>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14:paraId="18F0957F" w14:textId="77777777" w:rsidR="00003BA8" w:rsidRDefault="00003BA8">
      <w:pPr>
        <w:spacing w:after="120"/>
      </w:pPr>
    </w:p>
    <w:p w14:paraId="60A3DDF6" w14:textId="77777777" w:rsidR="00003BA8" w:rsidRDefault="00000000">
      <w:pPr>
        <w:pStyle w:val="Ttulo2"/>
      </w:pPr>
      <w:r>
        <w:t>6.5 Conclusiones</w:t>
      </w:r>
    </w:p>
    <w:p w14:paraId="09870262" w14:textId="77777777" w:rsidR="00003BA8" w:rsidRDefault="00000000">
      <w:pPr>
        <w:spacing w:after="200" w:line="360" w:lineRule="auto"/>
        <w:ind w:firstLine="720"/>
        <w:jc w:val="both"/>
      </w:pPr>
      <w:r>
        <w:rPr>
          <w:color w:val="000000"/>
        </w:rPr>
        <w:t>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14:paraId="1B731F2E" w14:textId="77777777" w:rsidR="00003BA8" w:rsidRDefault="00000000">
      <w:pPr>
        <w:spacing w:after="200" w:line="360" w:lineRule="auto"/>
        <w:ind w:firstLine="720"/>
        <w:jc w:val="both"/>
      </w:pPr>
      <w:r>
        <w:rPr>
          <w:color w:val="000000"/>
        </w:rPr>
        <w:t>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14:paraId="2A7FD651" w14:textId="77777777" w:rsidR="00003BA8" w:rsidRDefault="00000000">
      <w:pPr>
        <w:spacing w:after="200" w:line="360" w:lineRule="auto"/>
        <w:ind w:firstLine="720"/>
        <w:jc w:val="both"/>
      </w:pPr>
      <w:r>
        <w:rPr>
          <w:color w:val="000000"/>
        </w:rPr>
        <w:t>La segunda contribución es metodológica: el diseño e implementación de un pipeline de extracción de features que procesa 873 secciones judiciales en 20 minutos de CPU, con 143 tests unitarios pasando, CFH-BERT v2 (F1 macro=0.58), y un corpus oral de 45.9 horas transcrito con Whisper. La apertura del código en GitHub garantiza la reproducibilidad y extensibilidad del sistema.</w:t>
      </w:r>
    </w:p>
    <w:p w14:paraId="054DBA85" w14:textId="77777777" w:rsidR="00003BA8" w:rsidRDefault="00000000">
      <w:pPr>
        <w:spacing w:after="200" w:line="360" w:lineRule="auto"/>
        <w:ind w:firstLine="720"/>
        <w:jc w:val="both"/>
      </w:pPr>
      <w:r>
        <w:rPr>
          <w:color w:val="000000"/>
        </w:rPr>
        <w:lastRenderedPageBreak/>
        <w:t>La tercera contribución es empírica: los primeros resultados cuantitativos sobre la brecha discursiva entre la justicia ordinaria colombiana y la justicia transicional JEP. Cinco de seis indicadores CFH muestran diferencias estadísticamente significativas en la dirección predicha. El hallazgo más importante del análisis de senderos es que y₃ distancia léxico-civil es el predictor principal de la transición epistémica (β=−5.337, p&lt;0.001) — la adopción del vocabulario de las víctimas, más que la reducción del encubrimiento, es el mecanismo central de la transformación discursiva de la JEP. El control temporal confirma que esta brecha semántica es estructural, no un artefacto del período histórico.</w:t>
      </w:r>
    </w:p>
    <w:p w14:paraId="11F932AC" w14:textId="77777777" w:rsidR="00003BA8" w:rsidRDefault="00000000">
      <w:pPr>
        <w:spacing w:after="200" w:line="360" w:lineRule="auto"/>
        <w:ind w:firstLine="720"/>
        <w:jc w:val="both"/>
      </w:pPr>
      <w:r>
        <w:rPr>
          <w:color w:val="000000"/>
        </w:rPr>
        <w:t>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14:paraId="2019A65C" w14:textId="77777777" w:rsidR="00003BA8" w:rsidRDefault="00003BA8">
      <w:pPr>
        <w:spacing w:after="120"/>
      </w:pPr>
    </w:p>
    <w:p w14:paraId="130FE1E7" w14:textId="77777777" w:rsidR="00003BA8" w:rsidRDefault="00000000">
      <w:pPr>
        <w:spacing w:before="480" w:after="200"/>
      </w:pPr>
      <w:r>
        <w:rPr>
          <w:b/>
          <w:bCs/>
          <w:color w:val="000000"/>
          <w:sz w:val="22"/>
          <w:szCs w:val="22"/>
        </w:rPr>
        <w:t>Referencias del capítulo</w:t>
      </w:r>
    </w:p>
    <w:p w14:paraId="635A2386" w14:textId="77777777" w:rsidR="00003BA8" w:rsidRDefault="00000000">
      <w:pPr>
        <w:spacing w:after="120"/>
        <w:ind w:left="720" w:hanging="720"/>
        <w:jc w:val="both"/>
      </w:pPr>
      <w:r>
        <w:rPr>
          <w:color w:val="000000"/>
          <w:sz w:val="20"/>
          <w:szCs w:val="20"/>
        </w:rPr>
        <w:t>Bhatia, V. K. (1993). Analysing Genre: Language Use in Professional Settings. Longman.</w:t>
      </w:r>
    </w:p>
    <w:p w14:paraId="1411A5E5" w14:textId="77777777" w:rsidR="00003BA8" w:rsidRDefault="00000000">
      <w:pPr>
        <w:spacing w:after="120"/>
        <w:ind w:left="720" w:hanging="720"/>
        <w:jc w:val="both"/>
      </w:pPr>
      <w:r>
        <w:rPr>
          <w:color w:val="000000"/>
          <w:sz w:val="20"/>
          <w:szCs w:val="20"/>
        </w:rPr>
        <w:t>Fraser, N. (1995). From redistribution to recognition? Dilemmas of justice in a 'post-socialist' age. New Left Review, 212, 68–93.</w:t>
      </w:r>
    </w:p>
    <w:p w14:paraId="04161058" w14:textId="77777777" w:rsidR="00003BA8" w:rsidRDefault="00000000">
      <w:pPr>
        <w:spacing w:after="120"/>
        <w:ind w:left="720" w:hanging="720"/>
        <w:jc w:val="both"/>
      </w:pPr>
      <w:r>
        <w:rPr>
          <w:color w:val="000000"/>
          <w:sz w:val="20"/>
          <w:szCs w:val="20"/>
        </w:rPr>
        <w:t>Galtung, J. (1990). Cultural violence. Journal of Peace Research, 27(3), 291–305.</w:t>
      </w:r>
    </w:p>
    <w:p w14:paraId="5D7DC4C0" w14:textId="77777777" w:rsidR="00003BA8" w:rsidRDefault="00000000">
      <w:pPr>
        <w:spacing w:after="120"/>
        <w:ind w:left="720" w:hanging="720"/>
        <w:jc w:val="both"/>
      </w:pPr>
      <w:r>
        <w:rPr>
          <w:color w:val="000000"/>
          <w:sz w:val="20"/>
          <w:szCs w:val="20"/>
        </w:rPr>
        <w:t>Igolkina, A. A. y Meshcheryakov, G. (2020). semopy: A Python package for Structural Equation Models. arXiv:2003.05838.</w:t>
      </w:r>
    </w:p>
    <w:p w14:paraId="3CF1F036" w14:textId="77777777" w:rsidR="00003BA8" w:rsidRDefault="00000000">
      <w:pPr>
        <w:spacing w:after="120"/>
        <w:ind w:left="720" w:hanging="720"/>
        <w:jc w:val="both"/>
      </w:pPr>
      <w:r>
        <w:rPr>
          <w:color w:val="000000"/>
          <w:sz w:val="20"/>
          <w:szCs w:val="20"/>
        </w:rPr>
        <w:t>JEP — Jurisdicción Especial para la Paz. (2022). Resoluciones de Conclusiones No. 01 y 03 de 2022 — Caso 03. SRVR.</w:t>
      </w:r>
    </w:p>
    <w:p w14:paraId="28992820" w14:textId="77777777" w:rsidR="00003BA8" w:rsidRDefault="00000000">
      <w:pPr>
        <w:spacing w:after="120"/>
        <w:ind w:left="720" w:hanging="720"/>
        <w:jc w:val="both"/>
      </w:pPr>
      <w:r>
        <w:rPr>
          <w:color w:val="000000"/>
          <w:sz w:val="20"/>
          <w:szCs w:val="20"/>
        </w:rPr>
        <w:t>Kline, R. B. (2023). Principles and Practice of Structural Equation Modeling (5.ª ed.). Guilford Press.</w:t>
      </w:r>
    </w:p>
    <w:p w14:paraId="16A52BAB" w14:textId="77777777" w:rsidR="00003BA8" w:rsidRDefault="00000000">
      <w:pPr>
        <w:spacing w:after="120"/>
        <w:ind w:left="720" w:hanging="720"/>
        <w:jc w:val="both"/>
      </w:pPr>
      <w:r>
        <w:rPr>
          <w:color w:val="000000"/>
          <w:sz w:val="20"/>
          <w:szCs w:val="20"/>
        </w:rPr>
        <w:t>Noble, S. U. (2018). Algorithms of Oppression. New York University Press.</w:t>
      </w:r>
    </w:p>
    <w:p w14:paraId="59890301" w14:textId="77777777" w:rsidR="00003BA8" w:rsidRDefault="00000000">
      <w:pPr>
        <w:spacing w:after="120"/>
        <w:ind w:left="720" w:hanging="720"/>
        <w:jc w:val="both"/>
      </w:pPr>
      <w:r>
        <w:rPr>
          <w:color w:val="000000"/>
          <w:sz w:val="20"/>
          <w:szCs w:val="20"/>
        </w:rPr>
        <w:t>Swales, J. M. (1990). Genre Analysis: English in Academic and Research Settings. Cambridge University Press.</w:t>
      </w:r>
    </w:p>
    <w:p w14:paraId="78452CEE" w14:textId="77777777" w:rsidR="00003BA8" w:rsidRDefault="00000000">
      <w:pPr>
        <w:spacing w:after="120"/>
        <w:ind w:left="720" w:hanging="720"/>
        <w:jc w:val="both"/>
      </w:pPr>
      <w:r>
        <w:rPr>
          <w:color w:val="000000"/>
          <w:sz w:val="20"/>
          <w:szCs w:val="20"/>
        </w:rPr>
        <w:lastRenderedPageBreak/>
        <w:t>van Dijk, T. A. (2008). Discourse and Power. Palgrave Macmillan.</w:t>
      </w:r>
    </w:p>
    <w:p w14:paraId="10D99210" w14:textId="77777777" w:rsidR="00003BA8" w:rsidRDefault="00000000">
      <w:pPr>
        <w:spacing w:after="120"/>
        <w:ind w:left="720" w:hanging="720"/>
        <w:jc w:val="both"/>
      </w:pPr>
      <w:r>
        <w:rPr>
          <w:color w:val="000000"/>
          <w:sz w:val="20"/>
          <w:szCs w:val="20"/>
        </w:rPr>
        <w:t>Yang, W., Alsarra, S., Abdeljaber, L., Zawad, N., Delaram, Z., Osorio, J., Khan, L., Brandt, P., y D'Orazio, V. (2023). ConfliBERT-Spanish: A Pre-trained Spanish Language Model for Political Conflict and Violence. IEEE CiSt 2023.</w:t>
      </w:r>
    </w:p>
    <w:p w14:paraId="05C51D00" w14:textId="77777777" w:rsidR="00003BA8" w:rsidRDefault="00000000">
      <w:pPr>
        <w:spacing w:after="120"/>
        <w:ind w:left="720" w:hanging="720"/>
        <w:jc w:val="both"/>
      </w:pPr>
      <w:r>
        <w:rPr>
          <w:color w:val="000000"/>
          <w:sz w:val="20"/>
          <w:szCs w:val="20"/>
        </w:rPr>
        <w:t>Zehr, H. (2002). The Little Book of Restorative Justice. Good Books.</w:t>
      </w:r>
    </w:p>
    <w:sectPr w:rsidR="00003BA8">
      <w:headerReference w:type="default" r:id="rId7"/>
      <w:footerReference w:type="default" r:id="rId8"/>
      <w:pgSz w:w="11906" w:h="16838"/>
      <w:pgMar w:top="2268" w:right="1701" w:bottom="2268"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E2024" w14:textId="77777777" w:rsidR="00904B2A" w:rsidRDefault="00904B2A">
      <w:r>
        <w:separator/>
      </w:r>
    </w:p>
  </w:endnote>
  <w:endnote w:type="continuationSeparator" w:id="0">
    <w:p w14:paraId="05819EB3" w14:textId="77777777" w:rsidR="00904B2A" w:rsidRDefault="00904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B89B2" w14:textId="77777777" w:rsidR="00003BA8" w:rsidRDefault="00000000">
    <w:pPr>
      <w:jc w:val="center"/>
    </w:pPr>
    <w:r>
      <w:fldChar w:fldCharType="begin"/>
    </w:r>
    <w:r>
      <w:instrText>PAGE</w:instrText>
    </w:r>
    <w:r>
      <w:fldChar w:fldCharType="separate"/>
    </w:r>
    <w:r w:rsidR="00B6239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2D11F" w14:textId="77777777" w:rsidR="00904B2A" w:rsidRDefault="00904B2A">
      <w:r>
        <w:separator/>
      </w:r>
    </w:p>
  </w:footnote>
  <w:footnote w:type="continuationSeparator" w:id="0">
    <w:p w14:paraId="617B2B19" w14:textId="77777777" w:rsidR="00904B2A" w:rsidRDefault="00904B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1FC65" w14:textId="77777777" w:rsidR="00003BA8" w:rsidRDefault="00000000">
    <w:pPr>
      <w:jc w:val="right"/>
    </w:pPr>
    <w:r>
      <w:rPr>
        <w:i/>
        <w:iCs/>
        <w:color w:val="595959"/>
        <w:sz w:val="20"/>
        <w:szCs w:val="20"/>
      </w:rPr>
      <w:t>El lenguaje de los falsos positivos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10187"/>
    <w:multiLevelType w:val="hybridMultilevel"/>
    <w:tmpl w:val="6832A190"/>
    <w:lvl w:ilvl="0" w:tplc="BFB2BCB2">
      <w:start w:val="1"/>
      <w:numFmt w:val="bullet"/>
      <w:lvlText w:val="•"/>
      <w:lvlJc w:val="left"/>
      <w:pPr>
        <w:ind w:left="720" w:hanging="360"/>
      </w:pPr>
    </w:lvl>
    <w:lvl w:ilvl="1" w:tplc="77B6057C">
      <w:numFmt w:val="decimal"/>
      <w:lvlText w:val=""/>
      <w:lvlJc w:val="left"/>
    </w:lvl>
    <w:lvl w:ilvl="2" w:tplc="AE184332">
      <w:numFmt w:val="decimal"/>
      <w:lvlText w:val=""/>
      <w:lvlJc w:val="left"/>
    </w:lvl>
    <w:lvl w:ilvl="3" w:tplc="25FE0E0E">
      <w:numFmt w:val="decimal"/>
      <w:lvlText w:val=""/>
      <w:lvlJc w:val="left"/>
    </w:lvl>
    <w:lvl w:ilvl="4" w:tplc="714E2702">
      <w:numFmt w:val="decimal"/>
      <w:lvlText w:val=""/>
      <w:lvlJc w:val="left"/>
    </w:lvl>
    <w:lvl w:ilvl="5" w:tplc="C58864B0">
      <w:numFmt w:val="decimal"/>
      <w:lvlText w:val=""/>
      <w:lvlJc w:val="left"/>
    </w:lvl>
    <w:lvl w:ilvl="6" w:tplc="47307988">
      <w:numFmt w:val="decimal"/>
      <w:lvlText w:val=""/>
      <w:lvlJc w:val="left"/>
    </w:lvl>
    <w:lvl w:ilvl="7" w:tplc="F3F6DA48">
      <w:numFmt w:val="decimal"/>
      <w:lvlText w:val=""/>
      <w:lvlJc w:val="left"/>
    </w:lvl>
    <w:lvl w:ilvl="8" w:tplc="90D0211C">
      <w:numFmt w:val="decimal"/>
      <w:lvlText w:val=""/>
      <w:lvlJc w:val="left"/>
    </w:lvl>
  </w:abstractNum>
  <w:abstractNum w:abstractNumId="1" w15:restartNumberingAfterBreak="0">
    <w:nsid w:val="61C46FE1"/>
    <w:multiLevelType w:val="hybridMultilevel"/>
    <w:tmpl w:val="C93206AA"/>
    <w:lvl w:ilvl="0" w:tplc="01C40EA6">
      <w:start w:val="1"/>
      <w:numFmt w:val="bullet"/>
      <w:lvlText w:val="●"/>
      <w:lvlJc w:val="left"/>
      <w:pPr>
        <w:ind w:left="720" w:hanging="360"/>
      </w:pPr>
    </w:lvl>
    <w:lvl w:ilvl="1" w:tplc="736C6DDE">
      <w:start w:val="1"/>
      <w:numFmt w:val="bullet"/>
      <w:lvlText w:val="○"/>
      <w:lvlJc w:val="left"/>
      <w:pPr>
        <w:ind w:left="1440" w:hanging="360"/>
      </w:pPr>
    </w:lvl>
    <w:lvl w:ilvl="2" w:tplc="7480B6A6">
      <w:start w:val="1"/>
      <w:numFmt w:val="bullet"/>
      <w:lvlText w:val="■"/>
      <w:lvlJc w:val="left"/>
      <w:pPr>
        <w:ind w:left="2160" w:hanging="360"/>
      </w:pPr>
    </w:lvl>
    <w:lvl w:ilvl="3" w:tplc="A5A2AB46">
      <w:start w:val="1"/>
      <w:numFmt w:val="bullet"/>
      <w:lvlText w:val="●"/>
      <w:lvlJc w:val="left"/>
      <w:pPr>
        <w:ind w:left="2880" w:hanging="360"/>
      </w:pPr>
    </w:lvl>
    <w:lvl w:ilvl="4" w:tplc="0CB4AF50">
      <w:start w:val="1"/>
      <w:numFmt w:val="bullet"/>
      <w:lvlText w:val="○"/>
      <w:lvlJc w:val="left"/>
      <w:pPr>
        <w:ind w:left="3600" w:hanging="360"/>
      </w:pPr>
    </w:lvl>
    <w:lvl w:ilvl="5" w:tplc="1FFE9528">
      <w:start w:val="1"/>
      <w:numFmt w:val="bullet"/>
      <w:lvlText w:val="■"/>
      <w:lvlJc w:val="left"/>
      <w:pPr>
        <w:ind w:left="4320" w:hanging="360"/>
      </w:pPr>
    </w:lvl>
    <w:lvl w:ilvl="6" w:tplc="8D88FB08">
      <w:start w:val="1"/>
      <w:numFmt w:val="bullet"/>
      <w:lvlText w:val="●"/>
      <w:lvlJc w:val="left"/>
      <w:pPr>
        <w:ind w:left="5040" w:hanging="360"/>
      </w:pPr>
    </w:lvl>
    <w:lvl w:ilvl="7" w:tplc="20EC68CC">
      <w:start w:val="1"/>
      <w:numFmt w:val="bullet"/>
      <w:lvlText w:val="●"/>
      <w:lvlJc w:val="left"/>
      <w:pPr>
        <w:ind w:left="5760" w:hanging="360"/>
      </w:pPr>
    </w:lvl>
    <w:lvl w:ilvl="8" w:tplc="C818DD1C">
      <w:start w:val="1"/>
      <w:numFmt w:val="bullet"/>
      <w:lvlText w:val="●"/>
      <w:lvlJc w:val="left"/>
      <w:pPr>
        <w:ind w:left="6480" w:hanging="360"/>
      </w:pPr>
    </w:lvl>
  </w:abstractNum>
  <w:num w:numId="1" w16cid:durableId="12184726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BA8"/>
    <w:rsid w:val="00003BA8"/>
    <w:rsid w:val="00904B2A"/>
    <w:rsid w:val="00B623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C12C2"/>
  <w15:docId w15:val="{94424CD9-B5EA-4DC9-941F-4860C6B71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0D2137"/>
      <w:sz w:val="28"/>
      <w:szCs w:val="28"/>
    </w:rPr>
  </w:style>
  <w:style w:type="paragraph" w:styleId="Ttulo2">
    <w:name w:val="heading 2"/>
    <w:uiPriority w:val="9"/>
    <w:unhideWhenUsed/>
    <w:qFormat/>
    <w:pPr>
      <w:spacing w:before="360" w:after="180"/>
      <w:outlineLvl w:val="1"/>
    </w:pPr>
    <w:rPr>
      <w:b/>
      <w:bCs/>
      <w:color w:val="000000"/>
      <w:sz w:val="26"/>
      <w:szCs w:val="26"/>
    </w:rPr>
  </w:style>
  <w:style w:type="paragraph" w:styleId="Ttulo3">
    <w:name w:val="heading 3"/>
    <w:uiPriority w:val="9"/>
    <w:unhideWhenUsed/>
    <w:qFormat/>
    <w:pPr>
      <w:spacing w:before="280" w:after="14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2249</Words>
  <Characters>12374</Characters>
  <Application>Microsoft Office Word</Application>
  <DocSecurity>0</DocSecurity>
  <Lines>103</Lines>
  <Paragraphs>29</Paragraphs>
  <ScaleCrop>false</ScaleCrop>
  <Company/>
  <LinksUpToDate>false</LinksUpToDate>
  <CharactersWithSpaces>14594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Mireya Camacho Celis</cp:lastModifiedBy>
  <cp:revision>2</cp:revision>
  <dcterms:created xsi:type="dcterms:W3CDTF">2026-04-09T21:34:00Z</dcterms:created>
  <dcterms:modified xsi:type="dcterms:W3CDTF">2026-04-09T21:34:00Z</dcterms:modified>
</cp:coreProperties>
</file>