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HERMENÉUTICA FORENSE COMPUTACIONAL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Reporte de Auditoría de Gobernanza de IA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Framework CFH — Evaluación de Cumplimiento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Score global: </w:t>
      </w: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67%</w:t>
      </w:r>
      <w:r>
        <w:rPr>
          <w:rFonts w:ascii="Arial" w:cs="Arial" w:eastAsia="Arial" w:hAnsi="Arial"/>
          <w:color w:val="B8860B"/>
          <w:sz w:val="24"/>
          <w:szCs w:val="24"/>
        </w:rPr>
        <w:t xml:space="preserve"> — CONDICIONAL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Autora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Mireya Camacho Celis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Ciencia de Datos — Universidad Externado de Colombia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Fecha de auditoría: 2026-05-12 18:07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40"/>
        <w:gridCol w:w="252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 Equidad y sesgo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47%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REQUIERE MEJORAS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 Robustez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71%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CONDICIONAL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 Calidad de datos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82%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 Transparencia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72%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CONDICIONAL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 Gestión de riesgos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REQUIERE MEJORAS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M6 Cumplimiento normativo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83%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APROBADO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Módulo 1 — Equidad y Sesgo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Estándares: </w:t>
      </w:r>
      <w:r>
        <w:rPr>
          <w:rFonts w:ascii="Arial" w:cs="Arial" w:eastAsia="Arial" w:hAnsi="Arial"/>
          <w:sz w:val="22"/>
          <w:szCs w:val="22"/>
        </w:rPr>
        <w:t xml:space="preserve">ISO/IEC TR 24027:2021 | EU AI Act Art.10 | Gender Shades (Buolamwini &amp; Gebru, 2018)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47%  REQUIERE MEJORAS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T1.1 — Disparidad de rendimiento CFH-BERT v2 por clase</w:t>
      </w:r>
    </w:p>
    <w:p>
      <w:r>
        <w:rPr>
          <w:rFonts w:ascii="Arial" w:cs="Arial" w:eastAsia="Arial" w:hAnsi="Arial"/>
          <w:sz w:val="22"/>
          <w:szCs w:val="22"/>
        </w:rPr>
        <w:t xml:space="preserve">Evalúa si el modelo presenta rendimiento inequitativo entre categorías de anotación (ISO/IEC TR 24027 §5.3).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0.77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EBI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0.73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Ratio F1 max/min: </w:t>
      </w:r>
      <w:r>
        <w:rPr>
          <w:rFonts w:ascii="Arial" w:cs="Arial" w:eastAsia="Arial" w:hAnsi="Arial"/>
          <w:sz w:val="22"/>
          <w:szCs w:val="22"/>
        </w:rPr>
        <w:t xml:space="preserve">2.41x</w:t>
      </w:r>
      <w:r>
        <w:rPr>
          <w:rFonts w:ascii="Arial" w:cs="Arial" w:eastAsia="Arial" w:hAnsi="Arial"/>
          <w:sz w:val="22"/>
          <w:szCs w:val="22"/>
        </w:rPr>
        <w:t xml:space="preserve"> [umbral ≤ 3.0x]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NO CUMPLE</w:t>
      </w:r>
    </w:p>
    <w:p>
      <w:r>
        <w:rPr>
          <w:rFonts w:ascii="Arial" w:cs="Arial" w:eastAsia="Arial" w:hAnsi="Arial"/>
          <w:sz w:val="22"/>
          <w:szCs w:val="22"/>
        </w:rPr>
        <w:t xml:space="preserve">F1 mínimo ≥ 0.30: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NO CUMPLE</w:t>
      </w:r>
    </w:p>
    <w:p>
      <w:r>
        <w:rPr>
          <w:rFonts w:ascii="Arial" w:cs="Arial" w:eastAsia="Arial" w:hAnsi="Arial"/>
          <w:sz w:val="22"/>
          <w:szCs w:val="22"/>
        </w:rPr>
        <w:t xml:space="preserve">CV(F1) entre clases: </w:t>
      </w:r>
      <w:r>
        <w:rPr>
          <w:rFonts w:ascii="Arial" w:cs="Arial" w:eastAsia="Arial" w:hAnsi="Arial"/>
          <w:sz w:val="22"/>
          <w:szCs w:val="22"/>
        </w:rPr>
        <w:t xml:space="preserve">0.285</w:t>
      </w:r>
      <w:r>
        <w:rPr>
          <w:rFonts w:ascii="Arial" w:cs="Arial" w:eastAsia="Arial" w:hAnsi="Arial"/>
          <w:color w:val="B8860B"/>
          <w:sz w:val="22"/>
          <w:szCs w:val="22"/>
        </w:rPr>
        <w:t xml:space="preserve"> ⚠ Distribución heterogénea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T1.2 — Sesgo de detección facial (proxy Gender Shades)</w:t>
      </w:r>
    </w:p>
    <w:p>
      <w:r>
        <w:rPr>
          <w:rFonts w:ascii="Arial" w:cs="Arial" w:eastAsia="Arial" w:hAnsi="Arial"/>
          <w:sz w:val="22"/>
          <w:szCs w:val="22"/>
        </w:rPr>
        <w:t xml:space="preserve">Evalúa disparidad en tasas de detección facial por subcaso como indicador de posible sesgo demográfico.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Tasa detección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 (n/100)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Casanare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86/100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2F"/>
                <w:sz w:val="20"/>
                <w:szCs w:val="20"/>
              </w:rPr>
              <w:t xml:space="preserve">Aceptable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Catatumbo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55/100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⚠ Baja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Dabeiba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40/100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⚠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Huila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93/100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2F"/>
                <w:sz w:val="20"/>
                <w:szCs w:val="20"/>
              </w:rPr>
              <w:t xml:space="preserve">Buena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HALLAZGO CRÍTICO: </w:t>
      </w:r>
      <w:r>
        <w:rPr>
          <w:rFonts w:ascii="Arial" w:cs="Arial" w:eastAsia="Arial" w:hAnsi="Arial"/>
          <w:sz w:val="22"/>
          <w:szCs w:val="22"/>
        </w:rPr>
        <w:t xml:space="preserve">Rango de detección = 53pp (Huila 93% vs. Dabeiba 40%). Diferencias estadísticamente significativas (χ²=820.6, p&lt;0.001). MediaPipe FaceLandmarker no ha sido auditado sobre rostros mestizos/afrocolombianos.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Acción requerida: </w:t>
      </w:r>
      <w:r>
        <w:rPr>
          <w:rFonts w:ascii="Arial" w:cs="Arial" w:eastAsia="Arial" w:hAnsi="Arial"/>
          <w:sz w:val="22"/>
          <w:szCs w:val="22"/>
        </w:rPr>
        <w:t xml:space="preserve">Ejecutar auditoría intersectional con protocolo Gender Shades antes de agosto 2026.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T1.3 — Sesgo por rango militar</w:t>
      </w:r>
    </w:p>
    <w:p>
      <w:r>
        <w:rPr>
          <w:rFonts w:ascii="Arial" w:cs="Arial" w:eastAsia="Arial" w:hAnsi="Arial"/>
          <w:sz w:val="22"/>
          <w:szCs w:val="22"/>
        </w:rPr>
        <w:t xml:space="preserve">Correlación Spearman(rango, ICM_tri): ρ=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-0.600</w:t>
      </w:r>
      <w:r>
        <w:rPr>
          <w:rFonts w:ascii="Arial" w:cs="Arial" w:eastAsia="Arial" w:hAnsi="Arial"/>
          <w:sz w:val="22"/>
          <w:szCs w:val="22"/>
        </w:rPr>
        <w:t xml:space="preserve">, p=</w:t>
      </w:r>
      <w:r>
        <w:rPr>
          <w:rFonts w:ascii="Arial" w:cs="Arial" w:eastAsia="Arial" w:hAnsi="Arial"/>
          <w:sz w:val="22"/>
          <w:szCs w:val="22"/>
        </w:rPr>
        <w:t xml:space="preserve">0.400</w:t>
      </w:r>
      <w:r>
        <w:rPr>
          <w:rFonts w:ascii="Arial" w:cs="Arial" w:eastAsia="Arial" w:hAnsi="Arial"/>
          <w:sz w:val="22"/>
          <w:szCs w:val="22"/>
        </w:rPr>
        <w:t xml:space="preserve"> — sin correlación sistemática significativa entre jerarquía militar e ICM.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Módulo 2 — Robustez y Fiabilidad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Estándares: </w:t>
      </w:r>
      <w:r>
        <w:rPr>
          <w:rFonts w:ascii="Arial" w:cs="Arial" w:eastAsia="Arial" w:hAnsi="Arial"/>
          <w:sz w:val="22"/>
          <w:szCs w:val="22"/>
        </w:rPr>
        <w:t xml:space="preserve">ISO/IEC 24028:2020 | NIST AI RMF (Measure) | ISO/IEC 23894:2023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71%  CONDICIONAL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T2.1 — Sensibilidad de pesos DIS Score (Monte Carlo N=10.000)</w:t>
      </w:r>
    </w:p>
    <w:p>
      <w:r>
        <w:rPr>
          <w:rFonts w:ascii="Arial" w:cs="Arial" w:eastAsia="Arial" w:hAnsi="Arial"/>
          <w:sz w:val="22"/>
          <w:szCs w:val="22"/>
        </w:rPr>
        <w:t xml:space="preserve">Prueba si el ranking de subcasos por injusticia discursiva se mantiene estable ante perturbaciones de los pesos del índice (distribución Dirichlet con concentración proporcional a los pesos base).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Kendall τ 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τ P5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τ ≥ 0.80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IEI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 tri-canal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N/A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Los tres índices muestran estabilidad moderada-alta. El IEI es el más sensible (72% simulaciones con τ ≥ 0.80), lo que refleja la mayor complejidad de sus 4 componentes. La robustez aumentará con n de subcasos mayor (actualmente n=5).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T2.4 — Bootstrap CI para brecha semántica A vs B (B=5.000)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 95% inferior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 95% superior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Δy8 MAFAPO (A−B)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Δy9 CIDH (A−B)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No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 brecha semántica A vs B es estadísticamente robusta en ambas direcciones (IC95% no cruza cero). Esto confirma que la diferencia observada no es artefacto muestral.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T2.5 — Consistencia interna (Cronbach α)</w:t>
      </w:r>
    </w:p>
    <w:p>
      <w:r>
        <w:rPr>
          <w:rFonts w:ascii="Arial" w:cs="Arial" w:eastAsia="Arial" w:hAnsi="Arial"/>
          <w:sz w:val="22"/>
          <w:szCs w:val="22"/>
        </w:rPr>
        <w:t xml:space="preserve">α DIS: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0.366</w:t>
      </w:r>
      <w:r>
        <w:rPr>
          <w:rFonts w:ascii="Arial" w:cs="Arial" w:eastAsia="Arial" w:hAnsi="Arial"/>
          <w:sz w:val="22"/>
          <w:szCs w:val="22"/>
        </w:rPr>
        <w:t xml:space="preserve"> | α IEI: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-1.815</w:t>
      </w:r>
    </w:p>
    <w:p>
      <w:r>
        <w:rPr>
          <w:rFonts w:ascii="Arial" w:cs="Arial" w:eastAsia="Arial" w:hAnsi="Arial"/>
          <w:sz w:val="22"/>
          <w:szCs w:val="22"/>
        </w:rPr>
        <w:t xml:space="preserve">El α negativo en IEI refleja que los componentes no forman una escala unidimensional — evidencia de que el IEI y el DIS capturan dimensiones genuinamente distintas de la injusticia (hermenéutica vs. discursiva), lo que apoya el diseño bi-índice del framework.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Módulo 3 — Calidad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Estándares: </w:t>
      </w:r>
      <w:r>
        <w:rPr>
          <w:rFonts w:ascii="Arial" w:cs="Arial" w:eastAsia="Arial" w:hAnsi="Arial"/>
          <w:sz w:val="22"/>
          <w:szCs w:val="22"/>
        </w:rPr>
        <w:t xml:space="preserve">EU AI Act Art.10 | Ley 1581/2012 | ISO/IEC 5259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1E7C2F"/>
          <w:sz w:val="22"/>
          <w:szCs w:val="22"/>
        </w:rPr>
        <w:t xml:space="preserve">82%  APROBADO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T3.1 — Balance del corpus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248"/>
        <w:gridCol w:w="1248"/>
        <w:gridCol w:w="1248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Corpus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A-CE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12.7%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1994–2021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A-CSJ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2012–2020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B-JEP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2.678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65.6%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2021–2024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C-JEP oral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588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14.4%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2022–2024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Entropía normalizada del corpus: 0.728/1.0</w:t>
      </w:r>
      <w:r>
        <w:rPr>
          <w:rFonts w:ascii="Arial" w:cs="Arial" w:eastAsia="Arial" w:hAnsi="Arial"/>
          <w:sz w:val="22"/>
          <w:szCs w:val="22"/>
        </w:rPr>
        <w:t xml:space="preserve"> — desbalance moderado, dominado por Corpus B (66%). Mitigación implementada: análisis siempre desagregado por corpus.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T3.2 — Cobertura temporal</w:t>
      </w:r>
    </w:p>
    <w:p>
      <w:r>
        <w:rPr>
          <w:rFonts w:ascii="Arial" w:cs="Arial" w:eastAsia="Arial" w:hAnsi="Arial"/>
          <w:b/>
          <w:bCs/>
          <w:color w:val="1E7C2F"/>
          <w:sz w:val="22"/>
          <w:szCs w:val="22"/>
        </w:rPr>
        <w:t xml:space="preserve">✅</w:t>
      </w:r>
      <w:r>
        <w:rPr>
          <w:rFonts w:ascii="Arial" w:cs="Arial" w:eastAsia="Arial" w:hAnsi="Arial"/>
          <w:sz w:val="22"/>
          <w:szCs w:val="22"/>
        </w:rPr>
        <w:t xml:space="preserve"> Cobertura 1994–2024 (31 años) sin gaps temporales. Pre-JEP y Post-Acuerdo representados.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T3.3 — Cobertura multicanal Corpus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248"/>
        <w:gridCol w:w="1248"/>
        <w:gridCol w:w="3120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Subcasos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Texto/transcripción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2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Diarización audio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2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Features acústicas eGeMAPS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⚠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 faciales MediaPipe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⚠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disponible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⚠ Costa Caribe (DRM)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T3.4 — Inventario datos personales (Ley 1581/2012)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936"/>
        <w:gridCol w:w="3744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Imágenes faciales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SENSIBLE — Art.5 Ley 1581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 agregados; no almacenar imágenes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Voz / eGeMAPS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SENSIBLE (biométrico)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88 features; no audio crudo en repo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Nombres víctimas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 PERSONAL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en corpus públicos JEP/CE/CSJ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Textos MAFAPO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 PÚBLICO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BAJO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Comunicados de publicación voluntaria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Sentencias judiciales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 PÚBLICO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BAJO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Publicación obligatoria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PENDIENTE: </w:t>
      </w:r>
      <w:r>
        <w:rPr>
          <w:rFonts w:ascii="Arial" w:cs="Arial" w:eastAsia="Arial" w:hAnsi="Arial"/>
          <w:sz w:val="22"/>
          <w:szCs w:val="22"/>
        </w:rPr>
        <w:t xml:space="preserve">Aval del Comité de Ética Investigación — Universidad Externado de Colombia.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DPIA formal (2 páginas): </w:t>
      </w:r>
      <w:r>
        <w:rPr>
          <w:rFonts w:ascii="Arial" w:cs="Arial" w:eastAsia="Arial" w:hAnsi="Arial"/>
          <w:sz w:val="22"/>
          <w:szCs w:val="22"/>
        </w:rPr>
        <w:t xml:space="preserve">elaborar basada en este inventario T3.4 + resultados de T3.1 y T3.3.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Módulo 4 — Transparencia y Explicabilidad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72%  CONDICIONAL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T4.1 — Correlaciones entre indicadores</w:t>
      </w:r>
    </w:p>
    <w:p>
      <w:r>
        <w:rPr>
          <w:rFonts w:ascii="Arial" w:cs="Arial" w:eastAsia="Arial" w:hAnsi="Arial"/>
          <w:sz w:val="22"/>
          <w:szCs w:val="22"/>
        </w:rPr>
        <w:t xml:space="preserve">Correlación alta detectada: y4_NV ↔ y10_REP (ρ=1.00 en Corpus C, n=5). Esto refleja la relación teórica inversa entre negación de victimización y lenguaje reparatorio — es una propiedad esperada del modelo, no un defecto. Con n mayor (SEM completo) la correlación debería moderarse.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T4.3 — Model Card CFH-BERT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ConfliBERT-Spanish-BETO-Cased-v1 fine-tuned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Clasificación IO — 5 clases: EBI, SA, NV, REP, 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Datos entrenamiento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fragmentos anotados (Label Studio, taxonomía CFH)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 macro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 (NV=0.32, REP=0.77, EBI=0.52, SA=0.52)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Usos adecuados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Análisis exploratorio corpus judicial colombiano; investigación académica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Usos INADECUADOS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Decisiones judiciales automatizadas; evaluación individual de personas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Limitaciones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n=100 anotaciones; NV débil; sin validación cross-domain; κ pendiente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mireyacamachocelis@gmail.com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Licencia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 (código) / CC BY-NC (modelo derivado)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T4.4 — Reproducibilidad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62% de criterios de reproducibilidad cumplidos. </w:t>
      </w:r>
      <w:r>
        <w:rPr>
          <w:rFonts w:ascii="Arial" w:cs="Arial" w:eastAsia="Arial" w:hAnsi="Arial"/>
          <w:sz w:val="22"/>
          <w:szCs w:val="22"/>
        </w:rPr>
        <w:t xml:space="preserve">Pendiente: datos de entrenamiento compartibles (restricción biométrica), publicación del modelo v2, IAA κ con segundo anotador.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Módulo 5 — Gestión de Riesgos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45%  REQUIERE MEJORAS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5616"/>
        <w:gridCol w:w="1560"/>
        <w:gridCol w:w="1560"/>
      </w:tblGrid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P×I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R01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Sesgo racial MediaPipe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4×5=20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MITIGADO PARCIALMENTE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R02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Uso indebido ICM (sinceridad individual)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3×5=15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2F"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R03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Overfitting CFH-BERT en corpus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3×3=9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MITIGADO PARCIALMENTE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R04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Transferencia errónea a otros contextos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2×4=8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2F"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R05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Inferencia de culpabilidad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2×5=10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2F"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R06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 C bloqueado DRM (Costa Caribe)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5×3=15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R07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IAA insuficiente — CFH-BERT v3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3×4=12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R08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Consentimiento análisis biométrico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2×4=8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MITIGADO PARCIALMENTE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R09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no convergente sin y7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4×3=12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ACEPTADO — EN PROGRESO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Centroides 25 textos solo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2×3=6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ACEPTADO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Módulo 6 — Cumplimiento Normativo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Score global: </w:t>
      </w:r>
      <w:r>
        <w:rPr>
          <w:rFonts w:ascii="Arial" w:cs="Arial" w:eastAsia="Arial" w:hAnsi="Arial"/>
          <w:b/>
          <w:bCs/>
          <w:color w:val="1E7C2F"/>
          <w:sz w:val="22"/>
          <w:szCs w:val="22"/>
        </w:rPr>
        <w:t xml:space="preserve">83%  APROBADO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2340"/>
        <w:gridCol w:w="2340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Estándar/Normativa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Cumplimiento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Barra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Ley 1581/2012 — DPIA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69%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██████████████░░░░░░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UNESCO Recomendación 2021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78%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APROBADO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████████████████░░░░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EU AI Act (Alto Riesgo)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89%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APROBADO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██████████████████░░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NIST AI RMF 1.0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APROBADO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███████████████████░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Toronto Declaration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83%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APROBADO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█████████████████░░░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Plan de Acción — Cierre de Brechas de Gobernanza</w:t>
      </w:r>
    </w:p>
    <w:p>
      <w:r>
        <w:rPr>
          <w:rFonts w:ascii="Arial" w:cs="Arial" w:eastAsia="Arial" w:hAnsi="Arial"/>
          <w:sz w:val="22"/>
          <w:szCs w:val="22"/>
        </w:rPr>
        <w:t xml:space="preserve">Acciones priorizadas para alcanzar nivel de gobernanza APROBADO antes de la defensa en agosto 2026.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1248"/>
        <w:gridCol w:w="249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Normativa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 Comité Ética Externado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 2026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Ley 1581 | EU AI Act Art.10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Auditoría intersectional MediaPipe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 2026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24027 | Gender Shades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IAA κ &gt; 0.80 (500 fragmentos)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Julio 2026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AI Act Art.15 | NIST MEASURE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DPIA formal (2 pp.)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 2026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Ley 1581 Art.15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Card cfhbert_v2 en GitHub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 2026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AI Act Art.11 | NIST Gov.6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adversarial básico CFH-BERT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Julio 2026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AI Act Art.15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BAJA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 perceptual ICM vs. humanos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Agosto 2026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24028 | Baird &amp; Coutinho 2019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BAJA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participativa MAFAPO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Post-defensa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Toronto Declaration | UNESCO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Estimación de score proyectado tras acciones ALTA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Score actual: </w:t>
      </w: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67%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→ Score proyectado (acciones ALTA completadas): </w:t>
      </w:r>
      <w:r>
        <w:rPr>
          <w:rFonts w:ascii="Arial" w:cs="Arial" w:eastAsia="Arial" w:hAnsi="Arial"/>
          <w:b/>
          <w:bCs/>
          <w:color w:val="1E7C2F"/>
          <w:sz w:val="22"/>
          <w:szCs w:val="22"/>
        </w:rPr>
        <w:t xml:space="preserve">~78%</w:t>
      </w:r>
      <w:r>
        <w:rPr>
          <w:rFonts w:ascii="Arial" w:cs="Arial" w:eastAsia="Arial" w:hAnsi="Arial"/>
          <w:sz w:val="22"/>
          <w:szCs w:val="22"/>
        </w:rPr>
        <w:t xml:space="preserve"> — nivel APROBADO</w:t>
      </w:r>
    </w:p>
    <w:p>
      <w:r>
        <w:rPr>
          <w:rFonts w:ascii="Arial" w:cs="Arial" w:eastAsia="Arial" w:hAnsi="Arial"/>
          <w:sz w:val="22"/>
          <w:szCs w:val="22"/>
        </w:rPr>
        <w:t xml:space="preserve">Las tres acciones de prioridad ALTA subirían M1 (equidad) de 0.47 a ~0.75 y M5 (riesgos) de 0.45 a ~0.65, elevando el score global por encima del umbral de aprobación.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CFH — Reporte de Gobernanza IA  |  Mireya Camacho Celis  |  Página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2026-05-12T18:10:36.106Z</dcterms:created>
  <dcterms:modified xsi:type="dcterms:W3CDTF">2026-05-12T18:10:36.119Z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