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440"/>
        <w:jc w:val="center"/>
      </w:pPr>
      <w:r>
        <w:rPr>
          <w:rFonts w:ascii="Arial" w:cs="Arial" w:eastAsia="Arial" w:hAnsi="Arial"/>
          <w:b/>
          <w:bCs/>
          <w:color w:val="1F4E79"/>
          <w:sz w:val="40"/>
          <w:szCs w:val="40"/>
        </w:rPr>
        <w:t xml:space="preserve">CFH — HERMENÉUTICA FORENSE COMPUTACIONAL</w:t>
      </w:r>
    </w:p>
    <w:p>
      <w:pPr>
        <w:spacing w:after="120" w:before="120"/>
        <w:jc w:val="center"/>
      </w:pPr>
      <w:r>
        <w:rPr>
          <w:rFonts w:ascii="Arial" w:cs="Arial" w:eastAsia="Arial" w:hAnsi="Arial"/>
          <w:i/>
          <w:iCs/>
          <w:color w:val="2E75B6"/>
          <w:sz w:val="28"/>
          <w:szCs w:val="28"/>
        </w:rPr>
        <w:t xml:space="preserve">Desarrollo Matemático, Modelos, Índices y Estadística Inferencial</w:t>
      </w:r>
    </w:p>
    <w:p>
      <w:pPr>
        <w:spacing w:after="80" w:before="240"/>
        <w:jc w:val="center"/>
      </w:pPr>
      <w:r>
        <w:rPr>
          <w:rFonts w:ascii="Arial" w:cs="Arial" w:eastAsia="Arial" w:hAnsi="Arial"/>
          <w:color w:val="666666"/>
          <w:sz w:val="22"/>
          <w:szCs w:val="22"/>
        </w:rPr>
        <w:t xml:space="preserve">Documento técnico para capítulo de experimentación y defensa de tesis</w:t>
      </w:r>
    </w:p>
    <w:p>
      <w:pPr>
        <w:spacing w:after="400" w:before="80"/>
        <w:jc w:val="center"/>
      </w:pPr>
      <w:r>
        <w:rPr>
          <w:rFonts w:ascii="Arial" w:cs="Arial" w:eastAsia="Arial" w:hAnsi="Arial"/>
          <w:sz w:val="22"/>
          <w:szCs w:val="22"/>
        </w:rPr>
        <w:t xml:space="preserve">Mireya Camacho Celis  ·  Ciencia de Datos  ·  Universidad Externado de Colombia  ·  Defensa agosto 2026</w:t>
      </w:r>
    </w:p>
    <w:p>
      <w:r>
        <w:br w:type="page"/>
      </w:r>
    </w:p>
    <w:p>
      <w:pPr>
        <w:pStyle w:val="Heading1"/>
        <w:spacing w:after="200" w:before="400"/>
      </w:pPr>
      <w:r>
        <w:rPr>
          <w:rFonts w:ascii="Arial" w:cs="Arial" w:eastAsia="Arial" w:hAnsi="Arial"/>
          <w:b/>
          <w:bCs/>
          <w:color w:val="1F4E79"/>
          <w:sz w:val="32"/>
          <w:szCs w:val="32"/>
        </w:rPr>
        <w:t xml:space="preserve">1. CFH-BERT v2 — Clasificador supervisado de tokens</w:t>
      </w:r>
    </w:p>
    <w:p>
      <w:pPr>
        <w:pStyle w:val="Heading2"/>
        <w:spacing w:after="140" w:before="300"/>
      </w:pPr>
      <w:r>
        <w:rPr>
          <w:rFonts w:ascii="Arial" w:cs="Arial" w:eastAsia="Arial" w:hAnsi="Arial"/>
          <w:b/>
          <w:bCs/>
          <w:color w:val="2E75B6"/>
          <w:sz w:val="26"/>
          <w:szCs w:val="26"/>
        </w:rPr>
        <w:t xml:space="preserve">1.1 Arquitectura base: Transformer encoder (BERT)</w:t>
      </w:r>
    </w:p>
    <w:p>
      <w:pPr>
        <w:spacing w:after="80" w:before="80"/>
        <w:jc w:val="both"/>
      </w:pPr>
      <w:r>
        <w:rPr>
          <w:rFonts w:ascii="Arial" w:cs="Arial" w:eastAsia="Arial" w:hAnsi="Arial"/>
          <w:b w:val="false"/>
          <w:bCs w:val="false"/>
          <w:i w:val="false"/>
          <w:iCs w:val="false"/>
          <w:color w:val="000000"/>
          <w:sz w:val="22"/>
          <w:szCs w:val="22"/>
        </w:rPr>
        <w:t xml:space="preserve">CFH-BERT v2 es un modelo de etiquetado de secuencias (token classification) construido sobre ConfliBERT-Spanish-BETO-Cased-v1. El encoder es un Transformer de 12 capas de atención multi-cabeza con las siguientes dimensiones: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Parámetro</w:t>
            </w:r>
          </w:p>
        </w:tc>
        <w:tc>
          <w:tcPr>
            <w:tcW w:type="dxa" w:w="20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Valor</w:t>
            </w:r>
          </w:p>
        </w:tc>
        <w:tc>
          <w:tcPr>
            <w:tcW w:type="dxa" w:w="40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Descripción</w:t>
            </w:r>
          </w:p>
        </w:tc>
      </w:tr>
      <w:tr>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Capas de atención (L)</w:t>
            </w:r>
          </w:p>
        </w:tc>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12</w:t>
            </w:r>
          </w:p>
        </w:tc>
        <w:tc>
          <w:tcPr>
            <w:tcW w:type="dxa" w:w="4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Número de bloques Transformer</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Dimensión oculta (H)</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768</w:t>
            </w:r>
          </w:p>
        </w:tc>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Dimensión del vector de representación</w:t>
            </w:r>
          </w:p>
        </w:tc>
      </w:tr>
      <w:tr>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Cabezas de atención (A)</w:t>
            </w:r>
          </w:p>
        </w:tc>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12</w:t>
            </w:r>
          </w:p>
        </w:tc>
        <w:tc>
          <w:tcPr>
            <w:tcW w:type="dxa" w:w="4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Atención multi-cabeza por capa</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Parámetros totales</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110 M</w:t>
            </w:r>
          </w:p>
        </w:tc>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BERT-base equivalente</w:t>
            </w:r>
          </w:p>
        </w:tc>
      </w:tr>
      <w:tr>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Longitud máxima de secuencia</w:t>
            </w:r>
          </w:p>
        </w:tc>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512 tokens</w:t>
            </w:r>
          </w:p>
        </w:tc>
        <w:tc>
          <w:tcPr>
            <w:tcW w:type="dxa" w:w="4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Ventana de contexto</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Vocabulario</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31.002 tokens</w:t>
            </w:r>
          </w:p>
        </w:tc>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WordPiece cased español</w:t>
            </w:r>
          </w:p>
        </w:tc>
      </w:tr>
      <w:tr>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Corpus de pre-entrenamiento</w:t>
            </w:r>
          </w:p>
        </w:tc>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Conflictos político-militares ES</w:t>
            </w:r>
          </w:p>
        </w:tc>
        <w:tc>
          <w:tcPr>
            <w:tcW w:type="dxa" w:w="4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Yang et al., 2023</w:t>
            </w:r>
          </w:p>
        </w:tc>
      </w:tr>
    </w:tbl>
    <w:p>
      <w:pPr>
        <w:spacing w:after="200" w:before="80"/>
        <w:jc w:val="center"/>
      </w:pPr>
      <w:r>
        <w:rPr>
          <w:rFonts w:ascii="Arial" w:cs="Arial" w:eastAsia="Arial" w:hAnsi="Arial"/>
          <w:i/>
          <w:iCs/>
          <w:color w:val="666666"/>
          <w:sz w:val="18"/>
          <w:szCs w:val="18"/>
        </w:rPr>
        <w:t xml:space="preserve">Tabla 1.1. Parámetros arquitectónicos de ConfliBERT-Spanish (base de CFH-BERT v2).</w:t>
      </w:r>
    </w:p>
    <w:p>
      <w:pPr>
        <w:spacing w:after="60" w:before="60"/>
      </w:pPr>
      <w:r>
        <w:t xml:space="preserve"/>
      </w:r>
    </w:p>
    <w:p>
      <w:pPr>
        <w:pStyle w:val="Heading3"/>
        <w:spacing w:after="100" w:before="220"/>
      </w:pPr>
      <w:r>
        <w:rPr>
          <w:rFonts w:ascii="Arial" w:cs="Arial" w:eastAsia="Arial" w:hAnsi="Arial"/>
          <w:b/>
          <w:bCs/>
          <w:color w:val="1F4E79"/>
          <w:sz w:val="24"/>
          <w:szCs w:val="24"/>
        </w:rPr>
        <w:t xml:space="preserve">1.1.1 Mecanismo de auto-atención</w:t>
      </w:r>
    </w:p>
    <w:p>
      <w:pPr>
        <w:spacing w:after="80" w:before="80"/>
        <w:jc w:val="both"/>
      </w:pPr>
      <w:r>
        <w:rPr>
          <w:rFonts w:ascii="Arial" w:cs="Arial" w:eastAsia="Arial" w:hAnsi="Arial"/>
          <w:b w:val="false"/>
          <w:bCs w:val="false"/>
          <w:i w:val="false"/>
          <w:iCs w:val="false"/>
          <w:color w:val="000000"/>
          <w:sz w:val="22"/>
          <w:szCs w:val="22"/>
        </w:rPr>
        <w:t xml:space="preserve">Cada capa Transformer computa atención multi-cabeza. Para cada cabeza h, dados los vectores de consulta Q, llave K y valor V proyectados desde la representación de entrada X ∈ ℝ^(n×H):</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Attention(Q, K, V)  =  softmax( QKᵀ / √d_k ) · V</w:t>
      </w:r>
      <w:r>
        <w:rPr>
          <w:rFonts w:ascii="Arial" w:cs="Arial" w:eastAsia="Arial" w:hAnsi="Arial"/>
          <w:color w:val="888888"/>
          <w:sz w:val="20"/>
          <w:szCs w:val="20"/>
        </w:rPr>
        <w:t xml:space="preserve">   (1.1)</w:t>
      </w:r>
    </w:p>
    <w:p>
      <w:pPr>
        <w:spacing w:after="80" w:before="80"/>
        <w:jc w:val="both"/>
      </w:pPr>
      <w:r>
        <w:rPr>
          <w:rFonts w:ascii="Arial" w:cs="Arial" w:eastAsia="Arial" w:hAnsi="Arial"/>
          <w:b w:val="false"/>
          <w:bCs w:val="false"/>
          <w:i w:val="false"/>
          <w:iCs w:val="false"/>
          <w:color w:val="000000"/>
          <w:sz w:val="22"/>
          <w:szCs w:val="22"/>
        </w:rPr>
        <w:t xml:space="preserve">donde n es la longitud de la secuencia, d_k = H/A = 64 es la dimensión por cabeza. El factor </w:t>
      </w:r>
      <w:r>
        <w:rPr>
          <w:rFonts w:ascii="Arial" w:cs="Arial" w:eastAsia="Arial" w:hAnsi="Arial"/>
          <w:b w:val="false"/>
          <w:bCs w:val="false"/>
          <w:i/>
          <w:iCs/>
          <w:color w:val="000000"/>
          <w:sz w:val="22"/>
          <w:szCs w:val="22"/>
        </w:rPr>
        <w:t xml:space="preserve">1/√d_k</w:t>
      </w:r>
      <w:r>
        <w:rPr>
          <w:rFonts w:ascii="Arial" w:cs="Arial" w:eastAsia="Arial" w:hAnsi="Arial"/>
          <w:b w:val="false"/>
          <w:bCs w:val="false"/>
          <w:i w:val="false"/>
          <w:iCs w:val="false"/>
          <w:color w:val="000000"/>
          <w:sz w:val="22"/>
          <w:szCs w:val="22"/>
        </w:rPr>
        <w:t xml:space="preserve"> escala los productos internos para evitar gradientes pequeños en el softmax.</w:t>
      </w:r>
    </w:p>
    <w:p>
      <w:pPr>
        <w:spacing w:after="80" w:before="80"/>
        <w:jc w:val="both"/>
      </w:pPr>
      <w:r>
        <w:rPr>
          <w:rFonts w:ascii="Arial" w:cs="Arial" w:eastAsia="Arial" w:hAnsi="Arial"/>
          <w:b w:val="false"/>
          <w:bCs w:val="false"/>
          <w:i w:val="false"/>
          <w:iCs w:val="false"/>
          <w:color w:val="000000"/>
          <w:sz w:val="22"/>
          <w:szCs w:val="22"/>
        </w:rPr>
        <w:t xml:space="preserve">La salida de las A cabezas se concatena y proyecta linealmente:</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MultiHead(Q, K, V)  =  Concat(head₁, ..., head_A) · W^O</w:t>
      </w:r>
      <w:r>
        <w:rPr>
          <w:rFonts w:ascii="Arial" w:cs="Arial" w:eastAsia="Arial" w:hAnsi="Arial"/>
          <w:color w:val="888888"/>
          <w:sz w:val="20"/>
          <w:szCs w:val="20"/>
        </w:rPr>
        <w:t xml:space="preserve">   (1.2)</w:t>
      </w:r>
    </w:p>
    <w:p>
      <w:pPr>
        <w:spacing w:after="80" w:before="80"/>
        <w:jc w:val="both"/>
      </w:pPr>
      <w:r>
        <w:rPr>
          <w:rFonts w:ascii="Arial" w:cs="Arial" w:eastAsia="Arial" w:hAnsi="Arial"/>
          <w:b w:val="false"/>
          <w:bCs w:val="false"/>
          <w:i w:val="false"/>
          <w:iCs w:val="false"/>
          <w:color w:val="000000"/>
          <w:sz w:val="22"/>
          <w:szCs w:val="22"/>
        </w:rPr>
        <w:t xml:space="preserve">Cada sub-capa va seguida de normalización de capa (LayerNorm) y conexión residual:</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h^(l)  =  LayerNorm( h^(l-1)  +  Sublayer(h^(l-1)) )</w:t>
      </w:r>
      <w:r>
        <w:rPr>
          <w:rFonts w:ascii="Arial" w:cs="Arial" w:eastAsia="Arial" w:hAnsi="Arial"/>
          <w:color w:val="888888"/>
          <w:sz w:val="20"/>
          <w:szCs w:val="20"/>
        </w:rPr>
        <w:t xml:space="preserve">   (1.3)</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1.2 Esquema de etiquetado IO vs BIO</w:t>
      </w:r>
    </w:p>
    <w:p>
      <w:pPr>
        <w:spacing w:after="80" w:before="80"/>
        <w:jc w:val="both"/>
      </w:pPr>
      <w:r>
        <w:rPr>
          <w:rFonts w:ascii="Arial" w:cs="Arial" w:eastAsia="Arial" w:hAnsi="Arial"/>
          <w:b w:val="false"/>
          <w:bCs w:val="false"/>
          <w:i w:val="false"/>
          <w:iCs w:val="false"/>
          <w:color w:val="000000"/>
          <w:sz w:val="22"/>
          <w:szCs w:val="22"/>
        </w:rPr>
        <w:t xml:space="preserve">CFH-BERT v2 usa el esquema IO (Inside-Outside) con 5 clases en lugar del BIO de 9 clases de v1. La diferencia técnica es relevante para entender la mejora: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Esquema</w:t>
            </w:r>
          </w:p>
        </w:tc>
        <w:tc>
          <w:tcPr>
            <w:tcW w:type="dxa" w:w="30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Clases</w:t>
            </w:r>
          </w:p>
        </w:tc>
        <w:tc>
          <w:tcPr>
            <w:tcW w:type="dxa" w:w="23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Problema con secuencias cortas</w:t>
            </w:r>
          </w:p>
        </w:tc>
        <w:tc>
          <w:tcPr>
            <w:tcW w:type="dxa" w:w="22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Confusión frecuente</w:t>
            </w:r>
          </w:p>
        </w:tc>
      </w:tr>
      <w:tr>
        <w:tc>
          <w:tcPr>
            <w:tcW w:type="dxa" w:w="1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BIO (v1)</w:t>
            </w:r>
          </w:p>
        </w:tc>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B-EBI, I-EBI, B-SA, I-SA, B-NV, I-NV, B-REP, I-REP, O</w:t>
            </w:r>
          </w:p>
        </w:tc>
        <w:tc>
          <w:tcPr>
            <w:tcW w:type="dxa" w:w="23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B-X e I-X son difíciles de distinguir con n=100 muestras</w:t>
            </w:r>
          </w:p>
        </w:tc>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B-EBI / I-EBI — el modelo no aprende la frontera</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IO (v2)</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I-EBI, I-SA, I-NV, I-REP, O</w:t>
            </w:r>
          </w:p>
        </w:tc>
        <w:tc>
          <w:tcPr>
            <w:tcW w:type="dxa" w:w="23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Elimina la distinción de frontera. 5 clases más balanceadas</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Reducción del espacio de clase mejora generalización</w:t>
            </w:r>
          </w:p>
        </w:tc>
      </w:tr>
    </w:tbl>
    <w:p>
      <w:pPr>
        <w:spacing w:after="200" w:before="80"/>
        <w:jc w:val="center"/>
      </w:pPr>
      <w:r>
        <w:rPr>
          <w:rFonts w:ascii="Arial" w:cs="Arial" w:eastAsia="Arial" w:hAnsi="Arial"/>
          <w:i/>
          <w:iCs/>
          <w:color w:val="666666"/>
          <w:sz w:val="18"/>
          <w:szCs w:val="18"/>
        </w:rPr>
        <w:t xml:space="preserve">Tabla 1.2. Comparación de esquemas de etiquetado BIO vs IO.</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1.3 Función de pérdida con pesos de clase (Weighted Cross-Entropy)</w:t>
      </w:r>
    </w:p>
    <w:p>
      <w:pPr>
        <w:spacing w:after="80" w:before="80"/>
        <w:jc w:val="both"/>
      </w:pPr>
      <w:r>
        <w:rPr>
          <w:rFonts w:ascii="Arial" w:cs="Arial" w:eastAsia="Arial" w:hAnsi="Arial"/>
          <w:b w:val="false"/>
          <w:bCs w:val="false"/>
          <w:i w:val="false"/>
          <w:iCs w:val="false"/>
          <w:color w:val="000000"/>
          <w:sz w:val="22"/>
          <w:szCs w:val="22"/>
        </w:rPr>
        <w:t xml:space="preserve">La mejora crítica de v2 es la función de pérdida ponderada. El corpus de entrenamiento tiene distribución muy desbalanceada: la clase O (Outside) domina, y la clase I-NV es extremadamente escasa. La pérdida estándar de entropía cruzada asigna igual peso a cada clase, penalizando las predicciones incorrectas de O igual que las de I-NV — esto produce F1 NV=0.04 en v1.</w:t>
      </w:r>
    </w:p>
    <w:p>
      <w:pPr>
        <w:spacing w:after="80" w:before="80"/>
        <w:jc w:val="both"/>
      </w:pPr>
      <w:r>
        <w:rPr>
          <w:rFonts w:ascii="Arial" w:cs="Arial" w:eastAsia="Arial" w:hAnsi="Arial"/>
          <w:b w:val="false"/>
          <w:bCs w:val="false"/>
          <w:i w:val="false"/>
          <w:iCs w:val="false"/>
          <w:color w:val="000000"/>
          <w:sz w:val="22"/>
          <w:szCs w:val="22"/>
        </w:rPr>
        <w:t xml:space="preserve">La solución es la pérdida ponderada. Sea p̂_{i,c} la probabilidad predicha por el modelo para el token i y la clase c, y y_{i,c} ∈ {0,1} la etiqueta verdadera. La pérdida estándar es:</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L_CE  =  −(1/N) Σ_{i=1}^{N} Σ_{c=1}^{C} y_{i,c} · log(p̂_{i,c})</w:t>
      </w:r>
      <w:r>
        <w:rPr>
          <w:rFonts w:ascii="Arial" w:cs="Arial" w:eastAsia="Arial" w:hAnsi="Arial"/>
          <w:color w:val="888888"/>
          <w:sz w:val="20"/>
          <w:szCs w:val="20"/>
        </w:rPr>
        <w:t xml:space="preserve">   (1.4)</w:t>
      </w:r>
    </w:p>
    <w:p>
      <w:pPr>
        <w:spacing w:after="80" w:before="80"/>
        <w:jc w:val="both"/>
      </w:pPr>
      <w:r>
        <w:rPr>
          <w:rFonts w:ascii="Arial" w:cs="Arial" w:eastAsia="Arial" w:hAnsi="Arial"/>
          <w:b w:val="false"/>
          <w:bCs w:val="false"/>
          <w:i w:val="false"/>
          <w:iCs w:val="false"/>
          <w:color w:val="000000"/>
          <w:sz w:val="22"/>
          <w:szCs w:val="22"/>
        </w:rPr>
        <w:t xml:space="preserve">La pérdida ponderada introduce un peso w_c por clase:</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L_WCE  =  −(1/N) Σ_{i=1}^{N} Σ_{c=1}^{C} w_c · y_{i,c} · log(p̂_{i,c})</w:t>
      </w:r>
      <w:r>
        <w:rPr>
          <w:rFonts w:ascii="Arial" w:cs="Arial" w:eastAsia="Arial" w:hAnsi="Arial"/>
          <w:color w:val="888888"/>
          <w:sz w:val="20"/>
          <w:szCs w:val="20"/>
        </w:rPr>
        <w:t xml:space="preserve">   (1.5)</w:t>
      </w:r>
    </w:p>
    <w:p>
      <w:pPr>
        <w:spacing w:after="80" w:before="80"/>
        <w:jc w:val="both"/>
      </w:pPr>
      <w:r>
        <w:rPr>
          <w:rFonts w:ascii="Arial" w:cs="Arial" w:eastAsia="Arial" w:hAnsi="Arial"/>
          <w:b w:val="false"/>
          <w:bCs w:val="false"/>
          <w:i w:val="false"/>
          <w:iCs w:val="false"/>
          <w:color w:val="000000"/>
          <w:sz w:val="22"/>
          <w:szCs w:val="22"/>
        </w:rPr>
        <w:t xml:space="preserve">Los pesos se calculan de forma inversamente proporcional a la frecuencia de la clase en el conjunto de entrenamiento:</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w_c  =  N_total / (C · N_c)</w:t>
      </w:r>
      <w:r>
        <w:rPr>
          <w:rFonts w:ascii="Arial" w:cs="Arial" w:eastAsia="Arial" w:hAnsi="Arial"/>
          <w:color w:val="888888"/>
          <w:sz w:val="20"/>
          <w:szCs w:val="20"/>
        </w:rPr>
        <w:t xml:space="preserve">   (1.6)</w:t>
      </w:r>
    </w:p>
    <w:p>
      <w:pPr>
        <w:spacing w:after="80" w:before="80"/>
        <w:jc w:val="both"/>
      </w:pPr>
      <w:r>
        <w:rPr>
          <w:rFonts w:ascii="Arial" w:cs="Arial" w:eastAsia="Arial" w:hAnsi="Arial"/>
          <w:b w:val="false"/>
          <w:bCs w:val="false"/>
          <w:i w:val="false"/>
          <w:iCs w:val="false"/>
          <w:color w:val="000000"/>
          <w:sz w:val="22"/>
          <w:szCs w:val="22"/>
        </w:rPr>
        <w:t xml:space="preserve">donde N_total es el total de tokens, C=5 el número de clases, y N_c es el número de tokens de la clase c. </w:t>
      </w:r>
      <w:r>
        <w:rPr>
          <w:rFonts w:ascii="Arial" w:cs="Arial" w:eastAsia="Arial" w:hAnsi="Arial"/>
          <w:b/>
          <w:bCs/>
          <w:i w:val="false"/>
          <w:iCs w:val="false"/>
          <w:color w:val="000000"/>
          <w:sz w:val="22"/>
          <w:szCs w:val="22"/>
        </w:rPr>
        <w:t xml:space="preserve">Ejemplo con los datos de entrenamiento (100 anotaciones, ~4.800 tokens):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Clase</w:t>
            </w:r>
          </w:p>
        </w:tc>
        <w:tc>
          <w:tcPr>
            <w:tcW w:type="dxa" w:w="22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N_c (tokens aprox.)</w:t>
            </w:r>
          </w:p>
        </w:tc>
        <w:tc>
          <w:tcPr>
            <w:tcW w:type="dxa" w:w="26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w_c = N_total/(C·N_c)</w:t>
            </w:r>
          </w:p>
        </w:tc>
        <w:tc>
          <w:tcPr>
            <w:tcW w:type="dxa" w:w="26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Efecto</w:t>
            </w:r>
          </w:p>
        </w:tc>
      </w:tr>
      <w:tr>
        <w:tc>
          <w:tcPr>
            <w:tcW w:type="dxa" w:w="1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w:t>
            </w:r>
          </w:p>
        </w:tc>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4.200</w:t>
            </w:r>
          </w:p>
        </w:tc>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4.800/(5·4.200) = 0.23</w:t>
            </w:r>
          </w:p>
        </w:tc>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Penalización reducida — es la clase mayoritaria</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I-REP</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320</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4.800/(5·320) = 3.00</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Penalización 3× mayor que O</w:t>
            </w:r>
          </w:p>
        </w:tc>
      </w:tr>
      <w:tr>
        <w:tc>
          <w:tcPr>
            <w:tcW w:type="dxa" w:w="1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I-EBI</w:t>
            </w:r>
          </w:p>
        </w:tc>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140</w:t>
            </w:r>
          </w:p>
        </w:tc>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4.800/(5·140) = 6.86</w:t>
            </w:r>
          </w:p>
        </w:tc>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Penalización ~7× mayor</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I-SA</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90</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4.800/(5·90) = 10.67</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Penalización ~11× mayor</w:t>
            </w:r>
          </w:p>
        </w:tc>
      </w:tr>
      <w:tr>
        <w:tc>
          <w:tcPr>
            <w:tcW w:type="dxa" w:w="1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I-NV</w:t>
            </w:r>
          </w:p>
        </w:tc>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50</w:t>
            </w:r>
          </w:p>
        </w:tc>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4.800/(5·50) = 19.20</w:t>
            </w:r>
          </w:p>
        </w:tc>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Penalización ~19× — soluciona el F1 NV=0.04</w:t>
            </w:r>
          </w:p>
        </w:tc>
      </w:tr>
    </w:tbl>
    <w:p>
      <w:pPr>
        <w:spacing w:after="200" w:before="80"/>
        <w:jc w:val="center"/>
      </w:pPr>
      <w:r>
        <w:rPr>
          <w:rFonts w:ascii="Arial" w:cs="Arial" w:eastAsia="Arial" w:hAnsi="Arial"/>
          <w:i/>
          <w:iCs/>
          <w:color w:val="666666"/>
          <w:sz w:val="18"/>
          <w:szCs w:val="18"/>
        </w:rPr>
        <w:t xml:space="preserve">Tabla 1.3. Cálculo de pesos de clase para la pérdida WCE. Los pesos obligan al modelo a no ignorar las clases minoritarias.</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1.4 Cabeza de clasificación y forward pass</w:t>
      </w:r>
    </w:p>
    <w:p>
      <w:pPr>
        <w:spacing w:after="80" w:before="80"/>
        <w:jc w:val="both"/>
      </w:pPr>
      <w:r>
        <w:rPr>
          <w:rFonts w:ascii="Arial" w:cs="Arial" w:eastAsia="Arial" w:hAnsi="Arial"/>
          <w:b w:val="false"/>
          <w:bCs w:val="false"/>
          <w:i w:val="false"/>
          <w:iCs w:val="false"/>
          <w:color w:val="000000"/>
          <w:sz w:val="22"/>
          <w:szCs w:val="22"/>
        </w:rPr>
        <w:t xml:space="preserve">Sobre el encoder Transformer se añade una capa lineal de clasificación por token:</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logits_i  =  W · h_i^(L)  +  b      ∈  ℝ^C</w:t>
      </w:r>
      <w:r>
        <w:rPr>
          <w:rFonts w:ascii="Arial" w:cs="Arial" w:eastAsia="Arial" w:hAnsi="Arial"/>
          <w:color w:val="888888"/>
          <w:sz w:val="20"/>
          <w:szCs w:val="20"/>
        </w:rPr>
        <w:t xml:space="preserve">   (1.7)</w:t>
      </w:r>
    </w:p>
    <w:p>
      <w:pPr>
        <w:spacing w:after="80" w:before="80"/>
        <w:jc w:val="both"/>
      </w:pPr>
      <w:r>
        <w:rPr>
          <w:rFonts w:ascii="Arial" w:cs="Arial" w:eastAsia="Arial" w:hAnsi="Arial"/>
          <w:b w:val="false"/>
          <w:bCs w:val="false"/>
          <w:i w:val="false"/>
          <w:iCs w:val="false"/>
          <w:color w:val="000000"/>
          <w:sz w:val="22"/>
          <w:szCs w:val="22"/>
        </w:rPr>
        <w:t xml:space="preserve">donde h_i^(L) ∈ ℝ^H es la representación del token i en la última capa (L=12), W ∈ ℝ^(C×H) y b ∈ ℝ^C son los parámetros aprendibles de la cabeza. La distribución de probabilidad sobre clases se obtiene con softmax:</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p̂_{i,c}  =  exp(logits_{i,c}) / Σ_{c'=1}^{C} exp(logits_{i,c'})</w:t>
      </w:r>
      <w:r>
        <w:rPr>
          <w:rFonts w:ascii="Arial" w:cs="Arial" w:eastAsia="Arial" w:hAnsi="Arial"/>
          <w:color w:val="888888"/>
          <w:sz w:val="20"/>
          <w:szCs w:val="20"/>
        </w:rPr>
        <w:t xml:space="preserve">   (1.8)</w:t>
      </w:r>
    </w:p>
    <w:p>
      <w:pPr>
        <w:spacing w:after="80" w:before="80"/>
        <w:jc w:val="both"/>
      </w:pPr>
      <w:r>
        <w:rPr>
          <w:rFonts w:ascii="Arial" w:cs="Arial" w:eastAsia="Arial" w:hAnsi="Arial"/>
          <w:b w:val="false"/>
          <w:bCs w:val="false"/>
          <w:i w:val="false"/>
          <w:iCs w:val="false"/>
          <w:color w:val="000000"/>
          <w:sz w:val="22"/>
          <w:szCs w:val="22"/>
        </w:rPr>
        <w:t xml:space="preserve">La etiqueta predicha es argmax_c p̂_{i,c}. Los parámetros {W, b} se actualizan por retropropagación con L_WCE; los parámetros del encoder se actualizan con learning rate mucho menor (fine-tuning estándar BERT).</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1.5 Procedimiento de entrenamiento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Hiperparámetro</w:t>
            </w:r>
          </w:p>
        </w:tc>
        <w:tc>
          <w:tcPr>
            <w:tcW w:type="dxa" w:w="25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Valor</w:t>
            </w:r>
          </w:p>
        </w:tc>
        <w:tc>
          <w:tcPr>
            <w:tcW w:type="dxa" w:w="35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Justificación</w:t>
            </w:r>
          </w:p>
        </w:tc>
      </w:tr>
      <w:tr>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Modelo base</w:t>
            </w:r>
          </w:p>
        </w:tc>
        <w:tc>
          <w:tcPr>
            <w:tcW w:type="dxa" w:w="2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ConfliBERT-Spanish-BETO-Cased-v1</w:t>
            </w:r>
          </w:p>
        </w:tc>
        <w:tc>
          <w:tcPr>
            <w:tcW w:type="dxa" w:w="3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Pre-entrenamiento en corpus de conflicto político ES</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Esquema etiquetado</w:t>
            </w:r>
          </w:p>
        </w:tc>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IO — 5 clases</w:t>
            </w:r>
          </w:p>
        </w:tc>
        <w:tc>
          <w:tcPr>
            <w:tcW w:type="dxa" w:w="3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Reduce espacio de clase vs BIO en datos escasos</w:t>
            </w:r>
          </w:p>
        </w:tc>
      </w:tr>
      <w:tr>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Función de pérdida</w:t>
            </w:r>
          </w:p>
        </w:tc>
        <w:tc>
          <w:tcPr>
            <w:tcW w:type="dxa" w:w="2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Weighted Cross-Entropy (L_WCE)</w:t>
            </w:r>
          </w:p>
        </w:tc>
        <w:tc>
          <w:tcPr>
            <w:tcW w:type="dxa" w:w="3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Corrige desbalance extremo I-NV</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Optimizador</w:t>
            </w:r>
          </w:p>
        </w:tc>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AdamW (Loshchilov &amp; Hutter, 2019)</w:t>
            </w:r>
          </w:p>
        </w:tc>
        <w:tc>
          <w:tcPr>
            <w:tcW w:type="dxa" w:w="3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Estándar para fine-tuning BERT</w:t>
            </w:r>
          </w:p>
        </w:tc>
      </w:tr>
      <w:tr>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Learning rate encoder</w:t>
            </w:r>
          </w:p>
        </w:tc>
        <w:tc>
          <w:tcPr>
            <w:tcW w:type="dxa" w:w="2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2e-5</w:t>
            </w:r>
          </w:p>
        </w:tc>
        <w:tc>
          <w:tcPr>
            <w:tcW w:type="dxa" w:w="3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Fine-tuning conservador — evita olvido catastrófico</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Learning rate cabeza</w:t>
            </w:r>
          </w:p>
        </w:tc>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1e-4</w:t>
            </w:r>
          </w:p>
        </w:tc>
        <w:tc>
          <w:tcPr>
            <w:tcW w:type="dxa" w:w="3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Mayor LR para parámetros aleatorios iniciales</w:t>
            </w:r>
          </w:p>
        </w:tc>
      </w:tr>
      <w:tr>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Batch size</w:t>
            </w:r>
          </w:p>
        </w:tc>
        <w:tc>
          <w:tcPr>
            <w:tcW w:type="dxa" w:w="2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16</w:t>
            </w:r>
          </w:p>
        </w:tc>
        <w:tc>
          <w:tcPr>
            <w:tcW w:type="dxa" w:w="3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Limitado por memoria GPU disponible</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Épocas</w:t>
            </w:r>
          </w:p>
        </w:tc>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20 con early stopping</w:t>
            </w:r>
          </w:p>
        </w:tc>
        <w:tc>
          <w:tcPr>
            <w:tcW w:type="dxa" w:w="3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Paciencia = 5 épocas sobre F1 macro validación</w:t>
            </w:r>
          </w:p>
        </w:tc>
      </w:tr>
      <w:tr>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Split entrenamiento/validación</w:t>
            </w:r>
          </w:p>
        </w:tc>
        <w:tc>
          <w:tcPr>
            <w:tcW w:type="dxa" w:w="2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80/20 estratificado</w:t>
            </w:r>
          </w:p>
        </w:tc>
        <w:tc>
          <w:tcPr>
            <w:tcW w:type="dxa" w:w="3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Estratificación por clase para preservar balance en validación</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 total anotaciones</w:t>
            </w:r>
          </w:p>
        </w:tc>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100 tareas, ~4.800 tokens</w:t>
            </w:r>
          </w:p>
        </w:tc>
        <w:tc>
          <w:tcPr>
            <w:tcW w:type="dxa" w:w="3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Label Studio, taxonomía EBI/SA/NV/REP</w:t>
            </w:r>
          </w:p>
        </w:tc>
      </w:tr>
    </w:tbl>
    <w:p>
      <w:pPr>
        <w:spacing w:after="200" w:before="80"/>
        <w:jc w:val="center"/>
      </w:pPr>
      <w:r>
        <w:rPr>
          <w:rFonts w:ascii="Arial" w:cs="Arial" w:eastAsia="Arial" w:hAnsi="Arial"/>
          <w:i/>
          <w:iCs/>
          <w:color w:val="666666"/>
          <w:sz w:val="18"/>
          <w:szCs w:val="18"/>
        </w:rPr>
        <w:t xml:space="preserve">Tabla 1.4. Hiperparámetros de entrenamiento CFH-BERT v2.</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1.6 Métricas de evaluación</w:t>
      </w:r>
    </w:p>
    <w:p>
      <w:pPr>
        <w:pStyle w:val="Heading3"/>
        <w:spacing w:after="100" w:before="220"/>
      </w:pPr>
      <w:r>
        <w:rPr>
          <w:rFonts w:ascii="Arial" w:cs="Arial" w:eastAsia="Arial" w:hAnsi="Arial"/>
          <w:b/>
          <w:bCs/>
          <w:color w:val="1F4E79"/>
          <w:sz w:val="24"/>
          <w:szCs w:val="24"/>
        </w:rPr>
        <w:t xml:space="preserve">1.6.1 Definiciones: Precisión, Recall, F1 por clase</w:t>
      </w:r>
    </w:p>
    <w:p>
      <w:pPr>
        <w:spacing w:after="80" w:before="80"/>
        <w:jc w:val="both"/>
      </w:pPr>
      <w:r>
        <w:rPr>
          <w:rFonts w:ascii="Arial" w:cs="Arial" w:eastAsia="Arial" w:hAnsi="Arial"/>
          <w:b w:val="false"/>
          <w:bCs w:val="false"/>
          <w:i w:val="false"/>
          <w:iCs w:val="false"/>
          <w:color w:val="000000"/>
          <w:sz w:val="22"/>
          <w:szCs w:val="22"/>
        </w:rPr>
        <w:t xml:space="preserve">Para la clase c, dados los tokens del conjunto de evaluación:</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Precision_c  =  TP_c / (TP_c + FP_c)</w:t>
      </w:r>
      <w:r>
        <w:rPr>
          <w:rFonts w:ascii="Arial" w:cs="Arial" w:eastAsia="Arial" w:hAnsi="Arial"/>
          <w:color w:val="888888"/>
          <w:sz w:val="20"/>
          <w:szCs w:val="20"/>
        </w:rPr>
        <w:t xml:space="preserve">   (1.9)</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Recall_c  =  TP_c / (TP_c + FN_c)</w:t>
      </w:r>
      <w:r>
        <w:rPr>
          <w:rFonts w:ascii="Arial" w:cs="Arial" w:eastAsia="Arial" w:hAnsi="Arial"/>
          <w:color w:val="888888"/>
          <w:sz w:val="20"/>
          <w:szCs w:val="20"/>
        </w:rPr>
        <w:t xml:space="preserve">   (1.10)</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F1_c  =  2 · (Precision_c · Recall_c) / (Precision_c + Recall_c)</w:t>
      </w:r>
      <w:r>
        <w:rPr>
          <w:rFonts w:ascii="Arial" w:cs="Arial" w:eastAsia="Arial" w:hAnsi="Arial"/>
          <w:color w:val="888888"/>
          <w:sz w:val="20"/>
          <w:szCs w:val="20"/>
        </w:rPr>
        <w:t xml:space="preserve">   (1.11)</w:t>
      </w:r>
    </w:p>
    <w:p>
      <w:pPr>
        <w:spacing w:after="80" w:before="80"/>
        <w:jc w:val="both"/>
      </w:pPr>
      <w:r>
        <w:rPr>
          <w:rFonts w:ascii="Arial" w:cs="Arial" w:eastAsia="Arial" w:hAnsi="Arial"/>
          <w:b w:val="false"/>
          <w:bCs w:val="false"/>
          <w:i w:val="false"/>
          <w:iCs w:val="false"/>
          <w:color w:val="000000"/>
          <w:sz w:val="22"/>
          <w:szCs w:val="22"/>
        </w:rPr>
        <w:t xml:space="preserve">donde TP_c = verdaderos positivos de la clase c, FP_c = tokens predichos como c que son otra clase, FN_c = tokens de clase c predichos como otra.</w:t>
      </w:r>
    </w:p>
    <w:p>
      <w:pPr>
        <w:spacing w:after="80" w:before="80"/>
        <w:jc w:val="both"/>
      </w:pPr>
      <w:r>
        <w:rPr>
          <w:rFonts w:ascii="Arial" w:cs="Arial" w:eastAsia="Arial" w:hAnsi="Arial"/>
          <w:b w:val="false"/>
          <w:bCs w:val="false"/>
          <w:i w:val="false"/>
          <w:iCs w:val="false"/>
          <w:color w:val="000000"/>
          <w:sz w:val="22"/>
          <w:szCs w:val="22"/>
        </w:rPr>
        <w:t xml:space="preserve">El F1 macro promedia sin ponderar por frecuencia de clase — penaliza por igual el mal rendimiento en clases raras:</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F1_macro  =  (1/C) Σ_{c=1}^{C} F1_c</w:t>
      </w:r>
      <w:r>
        <w:rPr>
          <w:rFonts w:ascii="Arial" w:cs="Arial" w:eastAsia="Arial" w:hAnsi="Arial"/>
          <w:color w:val="888888"/>
          <w:sz w:val="20"/>
          <w:szCs w:val="20"/>
        </w:rPr>
        <w:t xml:space="preserve">   (1.12)</w:t>
      </w:r>
    </w:p>
    <w:p>
      <w:pPr>
        <w:spacing w:after="80" w:before="80"/>
        <w:jc w:val="both"/>
      </w:pPr>
      <w:r>
        <w:rPr>
          <w:rFonts w:ascii="Arial" w:cs="Arial" w:eastAsia="Arial" w:hAnsi="Arial"/>
          <w:b w:val="false"/>
          <w:bCs w:val="false"/>
          <w:i w:val="false"/>
          <w:iCs w:val="false"/>
          <w:color w:val="000000"/>
          <w:sz w:val="22"/>
          <w:szCs w:val="22"/>
        </w:rPr>
        <w:t xml:space="preserve">El F1 macro es la métrica principal del proyecto CFH porque el objetivo es detectar las cuatro categorías con igual importancia, independientemente de su frecuencia en el corpus.</w:t>
      </w:r>
    </w:p>
    <w:p>
      <w:pPr>
        <w:spacing w:after="60" w:before="60"/>
      </w:pPr>
      <w:r>
        <w:t xml:space="preserve"/>
      </w:r>
    </w:p>
    <w:p>
      <w:pPr>
        <w:pStyle w:val="Heading3"/>
        <w:spacing w:after="100" w:before="220"/>
      </w:pPr>
      <w:r>
        <w:rPr>
          <w:rFonts w:ascii="Arial" w:cs="Arial" w:eastAsia="Arial" w:hAnsi="Arial"/>
          <w:b/>
          <w:bCs/>
          <w:color w:val="1F4E79"/>
          <w:sz w:val="24"/>
          <w:szCs w:val="24"/>
        </w:rPr>
        <w:t xml:space="preserve">1.6.2 Resultados CFH-BERT v1 vs v2</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6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Clase</w:t>
            </w:r>
          </w:p>
        </w:tc>
        <w:tc>
          <w:tcPr>
            <w:tcW w:type="dxa" w:w="10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P v1</w:t>
            </w:r>
          </w:p>
        </w:tc>
        <w:tc>
          <w:tcPr>
            <w:tcW w:type="dxa" w:w="10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R v1</w:t>
            </w:r>
          </w:p>
        </w:tc>
        <w:tc>
          <w:tcPr>
            <w:tcW w:type="dxa" w:w="10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F1 v1</w:t>
            </w:r>
          </w:p>
        </w:tc>
        <w:tc>
          <w:tcPr>
            <w:tcW w:type="dxa" w:w="10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P v2</w:t>
            </w:r>
          </w:p>
        </w:tc>
        <w:tc>
          <w:tcPr>
            <w:tcW w:type="dxa" w:w="10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R v2</w:t>
            </w:r>
          </w:p>
        </w:tc>
        <w:tc>
          <w:tcPr>
            <w:tcW w:type="dxa" w:w="10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F1 v2</w:t>
            </w:r>
          </w:p>
        </w:tc>
        <w:tc>
          <w:tcPr>
            <w:tcW w:type="dxa" w:w="10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ΔF1</w:t>
            </w:r>
          </w:p>
        </w:tc>
      </w:tr>
      <w:tr>
        <w:tc>
          <w:tcPr>
            <w:tcW w:type="dxa" w:w="1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I-EBI</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0.61</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0.38</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0.47</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0.64</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0.43</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0.52</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+0.05</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I-SA</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0.52</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0.45</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0.48</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0.58</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0.47</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0.52</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+0.04</w:t>
            </w:r>
          </w:p>
        </w:tc>
      </w:tr>
      <w:tr>
        <w:tc>
          <w:tcPr>
            <w:tcW w:type="dxa" w:w="1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I-NV</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0.08</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0.02</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0.04</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0.41</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0.25</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0.32</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+0.28</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I-REP</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0.74</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0.68</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0.71</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0.81</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0.73</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0.77</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+0.06</w:t>
            </w:r>
          </w:p>
        </w:tc>
      </w:tr>
      <w:tr>
        <w:tc>
          <w:tcPr>
            <w:tcW w:type="dxa" w:w="1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0.82</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0.91</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0.86</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0.85</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0.92</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0.88</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+0.02</w:t>
            </w:r>
          </w:p>
        </w:tc>
      </w:tr>
      <w:tr>
        <w:tc>
          <w:tcPr>
            <w:tcW w:type="dxa" w:w="160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F1 macro</w:t>
            </w:r>
          </w:p>
        </w:tc>
        <w:tc>
          <w:tcPr>
            <w:tcW w:type="dxa" w:w="100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100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100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0.27</w:t>
            </w:r>
          </w:p>
        </w:tc>
        <w:tc>
          <w:tcPr>
            <w:tcW w:type="dxa" w:w="100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100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100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0.58</w:t>
            </w:r>
          </w:p>
        </w:tc>
        <w:tc>
          <w:tcPr>
            <w:tcW w:type="dxa" w:w="100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+0.31</w:t>
            </w:r>
          </w:p>
        </w:tc>
      </w:tr>
      <w:tr>
        <w:tc>
          <w:tcPr>
            <w:tcW w:type="dxa" w:w="160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Accuracy</w:t>
            </w:r>
          </w:p>
        </w:tc>
        <w:tc>
          <w:tcPr>
            <w:tcW w:type="dxa" w:w="100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100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100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0.68</w:t>
            </w:r>
          </w:p>
        </w:tc>
        <w:tc>
          <w:tcPr>
            <w:tcW w:type="dxa" w:w="100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100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100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0.73</w:t>
            </w:r>
          </w:p>
        </w:tc>
        <w:tc>
          <w:tcPr>
            <w:tcW w:type="dxa" w:w="100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+0.05</w:t>
            </w:r>
          </w:p>
        </w:tc>
      </w:tr>
    </w:tbl>
    <w:p>
      <w:pPr>
        <w:spacing w:after="200" w:before="80"/>
        <w:jc w:val="center"/>
      </w:pPr>
      <w:r>
        <w:rPr>
          <w:rFonts w:ascii="Arial" w:cs="Arial" w:eastAsia="Arial" w:hAnsi="Arial"/>
          <w:i/>
          <w:iCs/>
          <w:color w:val="666666"/>
          <w:sz w:val="18"/>
          <w:szCs w:val="18"/>
        </w:rPr>
        <w:t xml:space="preserve">Tabla 1.5. Comparación de métricas por clase CFH-BERT v1 vs v2. n=100 anotaciones, split 80/20 estratificado.</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1"/>
              <w:left w:val="single" w:color="BFBFBF" w:sz="1"/>
              <w:bottom w:val="single" w:color="BFBFBF" w:sz="1"/>
              <w:right w:val="single" w:color="BFBFBF" w:sz="1"/>
            </w:tcBorders>
            <w:shd w:fill="FFF2CC" w:val="clear"/>
            <w:tcMar>
              <w:top w:type="dxa" w:w="100"/>
              <w:left w:type="dxa" w:w="160"/>
              <w:bottom w:type="dxa" w:w="100"/>
              <w:right w:type="dxa" w:w="160"/>
            </w:tcMar>
          </w:tcPr>
          <w:p>
            <w:r>
              <w:rPr>
                <w:rFonts w:ascii="Arial" w:cs="Arial" w:eastAsia="Arial" w:hAnsi="Arial"/>
                <w:i/>
                <w:iCs/>
                <w:sz w:val="20"/>
                <w:szCs w:val="20"/>
              </w:rPr>
              <w:t xml:space="preserve">Nota metodológica: el salto en F1 NV (0.04 → 0.32) es el resultado directo del weighted loss. Con w_NV ≈ 19×, el modelo es penalizado fuertemente por ignorar tokens I-NV. La mejora en F1 macro (+0.31) supera el resultado obtenido con otras configuraciones testadas (BIO + weighted, IO sin pesos, aumento de datos con sinónimos).</w:t>
            </w:r>
          </w:p>
        </w:tc>
      </w:tr>
    </w:tbl>
    <w:p>
      <w:pPr>
        <w:spacing w:after="60" w:before="60"/>
      </w:pPr>
      <w:r>
        <w:t xml:space="preserve"/>
      </w:r>
    </w:p>
    <w:p>
      <w:pPr>
        <w:pStyle w:val="Heading2"/>
        <w:spacing w:after="140" w:before="300"/>
      </w:pPr>
      <w:r>
        <w:rPr>
          <w:rFonts w:ascii="Arial" w:cs="Arial" w:eastAsia="Arial" w:hAnsi="Arial"/>
          <w:b/>
          <w:bCs/>
          <w:color w:val="2E75B6"/>
          <w:sz w:val="26"/>
          <w:szCs w:val="26"/>
        </w:rPr>
        <w:t xml:space="preserve">1.7 Configuración de umbral de decisión</w:t>
      </w:r>
    </w:p>
    <w:p>
      <w:pPr>
        <w:spacing w:after="80" w:before="80"/>
        <w:jc w:val="both"/>
      </w:pPr>
      <w:r>
        <w:rPr>
          <w:rFonts w:ascii="Arial" w:cs="Arial" w:eastAsia="Arial" w:hAnsi="Arial"/>
          <w:b w:val="false"/>
          <w:bCs w:val="false"/>
          <w:i w:val="false"/>
          <w:iCs w:val="false"/>
          <w:color w:val="000000"/>
          <w:sz w:val="22"/>
          <w:szCs w:val="22"/>
        </w:rPr>
        <w:t xml:space="preserve">La salida del clasificador es una distribución de probabilidad p̂_i ∈ ℝ^C por token. La etiqueta se asigna por argmax estándar (umbral efectivo=0.5 para la clase ganadora). Sin embargo, para el cómputo de los scores de indicadores CFH se usa la probabilidad continua, no la etiqueta binaria:</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EBI_Score(bloque)  =  (1/n) Σ_{i=1}^{n} p̂_{i, I-EBI}</w:t>
      </w:r>
      <w:r>
        <w:rPr>
          <w:rFonts w:ascii="Arial" w:cs="Arial" w:eastAsia="Arial" w:hAnsi="Arial"/>
          <w:color w:val="888888"/>
          <w:sz w:val="20"/>
          <w:szCs w:val="20"/>
        </w:rPr>
        <w:t xml:space="preserve">   (1.13)</w:t>
      </w:r>
    </w:p>
    <w:p>
      <w:pPr>
        <w:spacing w:after="80" w:before="80"/>
        <w:jc w:val="both"/>
      </w:pPr>
      <w:r>
        <w:rPr>
          <w:rFonts w:ascii="Arial" w:cs="Arial" w:eastAsia="Arial" w:hAnsi="Arial"/>
          <w:b w:val="false"/>
          <w:bCs w:val="false"/>
          <w:i w:val="false"/>
          <w:iCs w:val="false"/>
          <w:color w:val="000000"/>
          <w:sz w:val="22"/>
          <w:szCs w:val="22"/>
        </w:rPr>
        <w:t xml:space="preserve">Este uso de las probabilidades suavizadas (en lugar de la etiqueta dura) captura intensidad gradual — un token puede ser «parcialmente EBI» con probabilidad 0.4, lo que contribuye proporcionalmente al score del bloque.</w:t>
      </w:r>
    </w:p>
    <w:p>
      <w:pPr>
        <w:spacing w:after="60" w:before="60"/>
      </w:pPr>
      <w:r>
        <w:t xml:space="preserve"/>
      </w:r>
    </w:p>
    <w:p>
      <w:r>
        <w:br w:type="page"/>
      </w:r>
    </w:p>
    <w:p>
      <w:pPr>
        <w:pStyle w:val="Heading1"/>
        <w:spacing w:after="200" w:before="400"/>
      </w:pPr>
      <w:r>
        <w:rPr>
          <w:rFonts w:ascii="Arial" w:cs="Arial" w:eastAsia="Arial" w:hAnsi="Arial"/>
          <w:b/>
          <w:bCs/>
          <w:color w:val="1F4E79"/>
          <w:sz w:val="32"/>
          <w:szCs w:val="32"/>
        </w:rPr>
        <w:t xml:space="preserve">2. ConfliBERT-Spanish — Embeddings y distancias semánticas (y₈, y₉)</w:t>
      </w:r>
    </w:p>
    <w:p>
      <w:pPr>
        <w:pStyle w:val="Heading2"/>
        <w:spacing w:after="140" w:before="300"/>
      </w:pPr>
      <w:r>
        <w:rPr>
          <w:rFonts w:ascii="Arial" w:cs="Arial" w:eastAsia="Arial" w:hAnsi="Arial"/>
          <w:b/>
          <w:bCs/>
          <w:color w:val="2E75B6"/>
          <w:sz w:val="26"/>
          <w:szCs w:val="26"/>
        </w:rPr>
        <w:t xml:space="preserve">2.1 Extracción del embedding de bloque</w:t>
      </w:r>
    </w:p>
    <w:p>
      <w:pPr>
        <w:spacing w:after="80" w:before="80"/>
        <w:jc w:val="both"/>
      </w:pPr>
      <w:r>
        <w:rPr>
          <w:rFonts w:ascii="Arial" w:cs="Arial" w:eastAsia="Arial" w:hAnsi="Arial"/>
          <w:b w:val="false"/>
          <w:bCs w:val="false"/>
          <w:i w:val="false"/>
          <w:iCs w:val="false"/>
          <w:color w:val="000000"/>
          <w:sz w:val="22"/>
          <w:szCs w:val="22"/>
        </w:rPr>
        <w:t xml:space="preserve">Para cada bloque textual b de longitud n tokens, ConfliBERT-Spanish produce una secuencia de representaciones contextuales H ∈ ℝ^(n×768). El embedding del bloque se extrae del token especial [CLS], que en la arquitectura BERT sintetiza la representación de la secuencia completa:</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e_b  =  H[CLS]  ∈  ℝ^768</w:t>
      </w:r>
      <w:r>
        <w:rPr>
          <w:rFonts w:ascii="Arial" w:cs="Arial" w:eastAsia="Arial" w:hAnsi="Arial"/>
          <w:color w:val="888888"/>
          <w:sz w:val="20"/>
          <w:szCs w:val="20"/>
        </w:rPr>
        <w:t xml:space="preserve">   (2.14)</w:t>
      </w:r>
    </w:p>
    <w:p>
      <w:pPr>
        <w:spacing w:after="80" w:before="80"/>
        <w:jc w:val="both"/>
      </w:pPr>
      <w:r>
        <w:rPr>
          <w:rFonts w:ascii="Arial" w:cs="Arial" w:eastAsia="Arial" w:hAnsi="Arial"/>
          <w:b w:val="false"/>
          <w:bCs w:val="false"/>
          <w:i w:val="false"/>
          <w:iCs w:val="false"/>
          <w:color w:val="000000"/>
          <w:sz w:val="22"/>
          <w:szCs w:val="22"/>
        </w:rPr>
        <w:t xml:space="preserve">Para bloques que superan la longitud máxima de 512 tokens, se aplica una ventana deslizante con solapamiento de 64 tokens y promediado de los embeddings [CLS] de cada ventana:</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e_b  =  (1/K) Σ_{k=1}^{K} e_b^{(k)}</w:t>
      </w:r>
      <w:r>
        <w:rPr>
          <w:rFonts w:ascii="Arial" w:cs="Arial" w:eastAsia="Arial" w:hAnsi="Arial"/>
          <w:color w:val="888888"/>
          <w:sz w:val="20"/>
          <w:szCs w:val="20"/>
        </w:rPr>
        <w:t xml:space="preserve">   (2.15)</w:t>
      </w:r>
    </w:p>
    <w:p>
      <w:pPr>
        <w:spacing w:after="80" w:before="80"/>
        <w:jc w:val="both"/>
      </w:pPr>
      <w:r>
        <w:rPr>
          <w:rFonts w:ascii="Arial" w:cs="Arial" w:eastAsia="Arial" w:hAnsi="Arial"/>
          <w:b w:val="false"/>
          <w:bCs w:val="false"/>
          <w:i w:val="false"/>
          <w:iCs w:val="false"/>
          <w:color w:val="000000"/>
          <w:sz w:val="22"/>
          <w:szCs w:val="22"/>
        </w:rPr>
        <w:t xml:space="preserve">donde K es el número de ventanas y e_b^{(k)} es el embedding [CLS] de la ventana k.</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2.2 Construcción de los centroides de referencia</w:t>
      </w:r>
    </w:p>
    <w:p>
      <w:pPr>
        <w:spacing w:after="80" w:before="80"/>
        <w:jc w:val="both"/>
      </w:pPr>
      <w:r>
        <w:rPr>
          <w:rFonts w:ascii="Arial" w:cs="Arial" w:eastAsia="Arial" w:hAnsi="Arial"/>
          <w:b w:val="false"/>
          <w:bCs w:val="false"/>
          <w:i w:val="false"/>
          <w:iCs w:val="false"/>
          <w:color w:val="000000"/>
          <w:sz w:val="22"/>
          <w:szCs w:val="22"/>
        </w:rPr>
        <w:t xml:space="preserve">Los centroides semánticos de MAFAPO y CIDH se construyen como el promedio aritmético de los embeddings de los textos de referencia:</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c_MAFAPO  =  (1/25) Σ_{j=1}^{25} e_j^{MAFAPO}  ∈  ℝ^768</w:t>
      </w:r>
      <w:r>
        <w:rPr>
          <w:rFonts w:ascii="Arial" w:cs="Arial" w:eastAsia="Arial" w:hAnsi="Arial"/>
          <w:color w:val="888888"/>
          <w:sz w:val="20"/>
          <w:szCs w:val="20"/>
        </w:rPr>
        <w:t xml:space="preserve">   (2.16)</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c_CIDH    =  (1/25) Σ_{j=1}^{25} e_j^{CIDH}     ∈  ℝ^768</w:t>
      </w:r>
      <w:r>
        <w:rPr>
          <w:rFonts w:ascii="Arial" w:cs="Arial" w:eastAsia="Arial" w:hAnsi="Arial"/>
          <w:color w:val="888888"/>
          <w:sz w:val="20"/>
          <w:szCs w:val="20"/>
        </w:rPr>
        <w:t xml:space="preserve">   (2.17)</w:t>
      </w:r>
    </w:p>
    <w:p>
      <w:pPr>
        <w:spacing w:after="80" w:before="80"/>
        <w:jc w:val="both"/>
      </w:pPr>
      <w:r>
        <w:rPr>
          <w:rFonts w:ascii="Arial" w:cs="Arial" w:eastAsia="Arial" w:hAnsi="Arial"/>
          <w:b w:val="false"/>
          <w:bCs w:val="false"/>
          <w:i w:val="false"/>
          <w:iCs w:val="false"/>
          <w:color w:val="000000"/>
          <w:sz w:val="22"/>
          <w:szCs w:val="22"/>
        </w:rPr>
        <w:t xml:space="preserve">Los 25 textos MAFAPO son comunicados públicos + declaraciones ante la JEP + fragmentos del informe Unidas por la Memoria y la Verdad (2021). Los 25 fragmentos CIDH son de la sentencia Villamizar Durán y otros vs. Colombia (Corte IDH, 2018) y comunicados CIDH sobre Colombia. Estos textos representan el polo epistémico de las víctimas y el polo normativo del derecho internacional humanitario, respectivamente.</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2.3 Distancia coseno (y₈ y y₉)</w:t>
      </w:r>
    </w:p>
    <w:p>
      <w:pPr>
        <w:spacing w:after="80" w:before="80"/>
        <w:jc w:val="both"/>
      </w:pPr>
      <w:r>
        <w:rPr>
          <w:rFonts w:ascii="Arial" w:cs="Arial" w:eastAsia="Arial" w:hAnsi="Arial"/>
          <w:b w:val="false"/>
          <w:bCs w:val="false"/>
          <w:i w:val="false"/>
          <w:iCs w:val="false"/>
          <w:color w:val="000000"/>
          <w:sz w:val="22"/>
          <w:szCs w:val="22"/>
        </w:rPr>
        <w:t xml:space="preserve">La distancia coseno entre el embedding del bloque e_b y el centroide c es la métrica central de la Capa 2 del framework CFH. A diferencia de la distancia euclidiana, la distancia coseno es invariante a la magnitud de los vectores y mide el ángulo entre ellos — lo que equivale a comparar distribuciones de semejanza semántica:</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cos(e_b, c)  =  (e_b · c) / (‖e_b‖₂ · ‖c‖₂)  =  Σ_k e_{b,k}·c_k / (√(Σ_k e_{b,k}²) · √(Σ_k c_k²))</w:t>
      </w:r>
      <w:r>
        <w:rPr>
          <w:rFonts w:ascii="Arial" w:cs="Arial" w:eastAsia="Arial" w:hAnsi="Arial"/>
          <w:color w:val="888888"/>
          <w:sz w:val="20"/>
          <w:szCs w:val="20"/>
        </w:rPr>
        <w:t xml:space="preserve">   (2.18)</w:t>
      </w:r>
    </w:p>
    <w:p>
      <w:pPr>
        <w:spacing w:after="80" w:before="80"/>
        <w:jc w:val="both"/>
      </w:pPr>
      <w:r>
        <w:rPr>
          <w:rFonts w:ascii="Arial" w:cs="Arial" w:eastAsia="Arial" w:hAnsi="Arial"/>
          <w:b w:val="false"/>
          <w:bCs w:val="false"/>
          <w:i w:val="false"/>
          <w:iCs w:val="false"/>
          <w:color w:val="000000"/>
          <w:sz w:val="22"/>
          <w:szCs w:val="22"/>
        </w:rPr>
        <w:t xml:space="preserve">El valor de cos(e_b, c) oscila entre −1 (opuestos) y 1 (idénticos). La distancia coseno se define como:</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d_cos(e_b, c)  =  1  −  cos(e_b, c)  ∈  [0, 2]</w:t>
      </w:r>
      <w:r>
        <w:rPr>
          <w:rFonts w:ascii="Arial" w:cs="Arial" w:eastAsia="Arial" w:hAnsi="Arial"/>
          <w:color w:val="888888"/>
          <w:sz w:val="20"/>
          <w:szCs w:val="20"/>
        </w:rPr>
        <w:t xml:space="preserve">   (2.19)</w:t>
      </w:r>
    </w:p>
    <w:p>
      <w:pPr>
        <w:spacing w:after="80" w:before="80"/>
        <w:jc w:val="both"/>
      </w:pPr>
      <w:r>
        <w:rPr>
          <w:rFonts w:ascii="Arial" w:cs="Arial" w:eastAsia="Arial" w:hAnsi="Arial"/>
          <w:b w:val="false"/>
          <w:bCs w:val="false"/>
          <w:i w:val="false"/>
          <w:iCs w:val="false"/>
          <w:color w:val="000000"/>
          <w:sz w:val="22"/>
          <w:szCs w:val="22"/>
        </w:rPr>
        <w:t xml:space="preserve">En la práctica, los embeddings de texto producen cosenos positivos (los vectores de representación textual apuntan al mismo semisespacio), por lo que d_cos oscila en la práctica entre 0 (idéntico al centroide) y 1 (máxima distancia observada en el corpus). Los indicadores y₈ y y₉ son:</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y₈(b)  =  d_cos(e_b, c_MAFAPO)  ∈  [0, 1]</w:t>
      </w:r>
      <w:r>
        <w:rPr>
          <w:rFonts w:ascii="Arial" w:cs="Arial" w:eastAsia="Arial" w:hAnsi="Arial"/>
          <w:color w:val="888888"/>
          <w:sz w:val="20"/>
          <w:szCs w:val="20"/>
        </w:rPr>
        <w:t xml:space="preserve">   (2.20)</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y₉(b)  =  d_cos(e_b, c_CIDH)    ∈  [0, 1]</w:t>
      </w:r>
      <w:r>
        <w:rPr>
          <w:rFonts w:ascii="Arial" w:cs="Arial" w:eastAsia="Arial" w:hAnsi="Arial"/>
          <w:color w:val="888888"/>
          <w:sz w:val="20"/>
          <w:szCs w:val="20"/>
        </w:rPr>
        <w:t xml:space="preserve">   (2.21)</w:t>
      </w:r>
    </w:p>
    <w:p>
      <w:pPr>
        <w:spacing w:after="80" w:before="80"/>
        <w:jc w:val="both"/>
      </w:pPr>
      <w:r>
        <w:rPr>
          <w:rFonts w:ascii="Arial" w:cs="Arial" w:eastAsia="Arial" w:hAnsi="Arial"/>
          <w:b w:val="false"/>
          <w:bCs w:val="false"/>
          <w:i w:val="false"/>
          <w:iCs w:val="false"/>
          <w:color w:val="000000"/>
          <w:sz w:val="22"/>
          <w:szCs w:val="22"/>
        </w:rPr>
        <w:t xml:space="preserve">Un valor alto de y₈ indica que el bloque b está semánticamente distante del lenguaje de las víctimas — mayor injusticia hermenéutica en el sentido de Fricker (2007).</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2.4 Propiedades estadísticas de y₈ y y₉ en el corpus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20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Estadístico</w:t>
            </w:r>
          </w:p>
        </w:tc>
        <w:tc>
          <w:tcPr>
            <w:tcW w:type="dxa" w:w="12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y₈ Corpus A</w:t>
            </w:r>
          </w:p>
        </w:tc>
        <w:tc>
          <w:tcPr>
            <w:tcW w:type="dxa" w:w="12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y₈ Corpus B</w:t>
            </w:r>
          </w:p>
        </w:tc>
        <w:tc>
          <w:tcPr>
            <w:tcW w:type="dxa" w:w="12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y₈ Corpus C</w:t>
            </w:r>
          </w:p>
        </w:tc>
        <w:tc>
          <w:tcPr>
            <w:tcW w:type="dxa" w:w="12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y₉ Corpus A</w:t>
            </w:r>
          </w:p>
        </w:tc>
        <w:tc>
          <w:tcPr>
            <w:tcW w:type="dxa" w:w="12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y₉ Corpus B</w:t>
            </w:r>
          </w:p>
        </w:tc>
        <w:tc>
          <w:tcPr>
            <w:tcW w:type="dxa" w:w="12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y₉ Corpus C</w:t>
            </w:r>
          </w:p>
        </w:tc>
      </w:tr>
      <w:tr>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Media (x̄)</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0.211</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0.191</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0.191</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0.254</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0.235</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0.263</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Desv. estándar (s)</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0.048</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0.031</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0.044</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0.052</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0.038</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0.049</w:t>
            </w:r>
          </w:p>
        </w:tc>
      </w:tr>
      <w:tr>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Mediana</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0.208</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0.189</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0.190</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0.251</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0.233</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0.261</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Mínimo</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0.092</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0.101</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0.098</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0.119</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0.128</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0.139</w:t>
            </w:r>
          </w:p>
        </w:tc>
      </w:tr>
      <w:tr>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Máximo</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0.394</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0.341</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0.387</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0.451</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0.389</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0.412</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 (bloques)</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819</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2.678</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588</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819</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2.678</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588</w:t>
            </w:r>
          </w:p>
        </w:tc>
      </w:tr>
    </w:tbl>
    <w:p>
      <w:pPr>
        <w:spacing w:after="200" w:before="80"/>
        <w:jc w:val="center"/>
      </w:pPr>
      <w:r>
        <w:rPr>
          <w:rFonts w:ascii="Arial" w:cs="Arial" w:eastAsia="Arial" w:hAnsi="Arial"/>
          <w:i/>
          <w:iCs/>
          <w:color w:val="666666"/>
          <w:sz w:val="18"/>
          <w:szCs w:val="18"/>
        </w:rPr>
        <w:t xml:space="preserve">Tabla 2.1. Estadísticos descriptivos de y₈ y y₉ por corpus. Cálculo con ConfliBERT-Spanish sobre 4.085 bloques.</w:t>
      </w:r>
    </w:p>
    <w:p>
      <w:pPr>
        <w:spacing w:after="60" w:before="60"/>
      </w:pPr>
      <w:r>
        <w:t xml:space="preserve"/>
      </w:r>
    </w:p>
    <w:p>
      <w:r>
        <w:br w:type="page"/>
      </w:r>
    </w:p>
    <w:p>
      <w:pPr>
        <w:pStyle w:val="Heading1"/>
        <w:spacing w:after="200" w:before="400"/>
      </w:pPr>
      <w:r>
        <w:rPr>
          <w:rFonts w:ascii="Arial" w:cs="Arial" w:eastAsia="Arial" w:hAnsi="Arial"/>
          <w:b/>
          <w:bCs/>
          <w:color w:val="1F4E79"/>
          <w:sz w:val="32"/>
          <w:szCs w:val="32"/>
        </w:rPr>
        <w:t xml:space="preserve">3. SA Score (y₂) — Supresión de Agentividad con parseo de dependencias</w:t>
      </w:r>
    </w:p>
    <w:p>
      <w:pPr>
        <w:pStyle w:val="Heading2"/>
        <w:spacing w:after="140" w:before="300"/>
      </w:pPr>
      <w:r>
        <w:rPr>
          <w:rFonts w:ascii="Arial" w:cs="Arial" w:eastAsia="Arial" w:hAnsi="Arial"/>
          <w:b/>
          <w:bCs/>
          <w:color w:val="2E75B6"/>
          <w:sz w:val="26"/>
          <w:szCs w:val="26"/>
        </w:rPr>
        <w:t xml:space="preserve">3.1 Parseo de dependencias sintácticas</w:t>
      </w:r>
    </w:p>
    <w:p>
      <w:pPr>
        <w:spacing w:after="80" w:before="80"/>
        <w:jc w:val="both"/>
      </w:pPr>
      <w:r>
        <w:rPr>
          <w:rFonts w:ascii="Arial" w:cs="Arial" w:eastAsia="Arial" w:hAnsi="Arial"/>
          <w:b w:val="false"/>
          <w:bCs w:val="false"/>
          <w:i w:val="false"/>
          <w:iCs w:val="false"/>
          <w:color w:val="000000"/>
          <w:sz w:val="22"/>
          <w:szCs w:val="22"/>
        </w:rPr>
        <w:t xml:space="preserve">El SA Score usa spaCy (es_core_news_lg) con el algoritmo de parseo de dependencias Biaffine (Dozat &amp; Manning, 2017) entrenado sobre el corpus Universal Dependencies del español. Para cada bloque, spaCy produce un árbol de dependencias sobre cada oración donde cada token tiene: (a) su etiqueta de parte de discurso (POS), (b) su relación de dependencia con el token padre (deprel), y (c) el índice de su token padre (head).</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3.2 Operacionalización matemática del SA Score</w:t>
      </w:r>
    </w:p>
    <w:p>
      <w:pPr>
        <w:spacing w:after="80" w:before="80"/>
        <w:jc w:val="both"/>
      </w:pPr>
      <w:r>
        <w:rPr>
          <w:rFonts w:ascii="Arial" w:cs="Arial" w:eastAsia="Arial" w:hAnsi="Arial"/>
          <w:b w:val="false"/>
          <w:bCs w:val="false"/>
          <w:i w:val="false"/>
          <w:iCs w:val="false"/>
          <w:color w:val="000000"/>
          <w:sz w:val="22"/>
          <w:szCs w:val="22"/>
        </w:rPr>
        <w:t xml:space="preserve">La Supresión de Agentividad se detecta a través de tres construcciones gramaticales que suprimen o diluyen al agente semántico:</w:t>
      </w:r>
    </w:p>
    <w:p>
      <w:pPr>
        <w:pStyle w:val="Heading3"/>
        <w:spacing w:after="100" w:before="220"/>
      </w:pPr>
      <w:r>
        <w:rPr>
          <w:rFonts w:ascii="Arial" w:cs="Arial" w:eastAsia="Arial" w:hAnsi="Arial"/>
          <w:b/>
          <w:bCs/>
          <w:color w:val="1F4E79"/>
          <w:sz w:val="24"/>
          <w:szCs w:val="24"/>
        </w:rPr>
        <w:t xml:space="preserve">3.2.1 Tipo 1 — Pasivas perifrásticas y participiales</w:t>
      </w:r>
    </w:p>
    <w:p>
      <w:pPr>
        <w:spacing w:after="80" w:before="80"/>
        <w:jc w:val="both"/>
      </w:pPr>
      <w:r>
        <w:rPr>
          <w:rFonts w:ascii="Arial" w:cs="Arial" w:eastAsia="Arial" w:hAnsi="Arial"/>
          <w:b w:val="false"/>
          <w:bCs w:val="false"/>
          <w:i w:val="false"/>
          <w:iCs w:val="false"/>
          <w:color w:val="000000"/>
          <w:sz w:val="22"/>
          <w:szCs w:val="22"/>
        </w:rPr>
        <w:t xml:space="preserve">Se detectan cláusulas donde el verbo principal tiene relación aux:pass con un auxiliar (ser, verse, resultar) y el sujeto gramatical no es el agente semántico sino el paciente. Condición de detección:</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SA_tipo1(cláusula)  =  𝟙[ ∃ tok : deprel(tok)=aux:pass ∧ POS(tok.head)=VERB ]</w:t>
      </w:r>
      <w:r>
        <w:rPr>
          <w:rFonts w:ascii="Arial" w:cs="Arial" w:eastAsia="Arial" w:hAnsi="Arial"/>
          <w:color w:val="888888"/>
          <w:sz w:val="20"/>
          <w:szCs w:val="20"/>
        </w:rPr>
        <w:t xml:space="preserve">   (3.22)</w:t>
      </w:r>
    </w:p>
    <w:p>
      <w:pPr>
        <w:spacing w:after="80" w:before="80"/>
        <w:jc w:val="both"/>
      </w:pPr>
      <w:r>
        <w:rPr>
          <w:rFonts w:ascii="Arial" w:cs="Arial" w:eastAsia="Arial" w:hAnsi="Arial"/>
          <w:b w:val="false"/>
          <w:bCs w:val="false"/>
          <w:i w:val="false"/>
          <w:iCs w:val="false"/>
          <w:color w:val="000000"/>
          <w:sz w:val="22"/>
          <w:szCs w:val="22"/>
        </w:rPr>
        <w:t xml:space="preserve">Ejemplo: «El civil fue presentado como guerrillero» — el civil es paciente, el agente («quienes lo presentaron») está suprimido.</w:t>
      </w:r>
    </w:p>
    <w:p>
      <w:pPr>
        <w:pStyle w:val="Heading3"/>
        <w:spacing w:after="100" w:before="220"/>
      </w:pPr>
      <w:r>
        <w:rPr>
          <w:rFonts w:ascii="Arial" w:cs="Arial" w:eastAsia="Arial" w:hAnsi="Arial"/>
          <w:b/>
          <w:bCs/>
          <w:color w:val="1F4E79"/>
          <w:sz w:val="24"/>
          <w:szCs w:val="24"/>
        </w:rPr>
        <w:t xml:space="preserve">3.2.2 Tipo 2 — Construcciones impersonales y oraciones sin sujeto</w:t>
      </w:r>
    </w:p>
    <w:p>
      <w:pPr>
        <w:spacing w:after="80" w:before="80"/>
        <w:jc w:val="both"/>
      </w:pPr>
      <w:r>
        <w:rPr>
          <w:rFonts w:ascii="Arial" w:cs="Arial" w:eastAsia="Arial" w:hAnsi="Arial"/>
          <w:b w:val="false"/>
          <w:bCs w:val="false"/>
          <w:i w:val="false"/>
          <w:iCs w:val="false"/>
          <w:color w:val="000000"/>
          <w:sz w:val="22"/>
          <w:szCs w:val="22"/>
        </w:rPr>
        <w:t xml:space="preserve">Verbos en 3ª persona sin sujeto léxico explícito (nsubj) en el árbol de dependencias, incluyendo impersonales con se (se procedió, se determinó):</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SA_tipo2(cláusula)  =  𝟙[ verb.pos='VERB' ∧ ¬∃ tok : deprel(tok)=nsubj ∧ head(tok)=verb ]</w:t>
      </w:r>
      <w:r>
        <w:rPr>
          <w:rFonts w:ascii="Arial" w:cs="Arial" w:eastAsia="Arial" w:hAnsi="Arial"/>
          <w:color w:val="888888"/>
          <w:sz w:val="20"/>
          <w:szCs w:val="20"/>
        </w:rPr>
        <w:t xml:space="preserve">   (3.23)</w:t>
      </w:r>
    </w:p>
    <w:p>
      <w:pPr>
        <w:spacing w:after="80" w:before="80"/>
        <w:jc w:val="both"/>
      </w:pPr>
      <w:r>
        <w:rPr>
          <w:rFonts w:ascii="Arial" w:cs="Arial" w:eastAsia="Arial" w:hAnsi="Arial"/>
          <w:b w:val="false"/>
          <w:bCs w:val="false"/>
          <w:i w:val="false"/>
          <w:iCs w:val="false"/>
          <w:color w:val="000000"/>
          <w:sz w:val="22"/>
          <w:szCs w:val="22"/>
        </w:rPr>
        <w:t xml:space="preserve">Ejemplo: «Se determinó que el occiso portaba armas» — no hay sujeto gramatical; el responsable de la determinación es invisible.</w:t>
      </w:r>
    </w:p>
    <w:p>
      <w:pPr>
        <w:pStyle w:val="Heading3"/>
        <w:spacing w:after="100" w:before="220"/>
      </w:pPr>
      <w:r>
        <w:rPr>
          <w:rFonts w:ascii="Arial" w:cs="Arial" w:eastAsia="Arial" w:hAnsi="Arial"/>
          <w:b/>
          <w:bCs/>
          <w:color w:val="1F4E79"/>
          <w:sz w:val="24"/>
          <w:szCs w:val="24"/>
        </w:rPr>
        <w:t xml:space="preserve">3.2.3 Tipo 3 — Nominalizaciones de proceso</w:t>
      </w:r>
    </w:p>
    <w:p>
      <w:pPr>
        <w:spacing w:after="80" w:before="80"/>
        <w:jc w:val="both"/>
      </w:pPr>
      <w:r>
        <w:rPr>
          <w:rFonts w:ascii="Arial" w:cs="Arial" w:eastAsia="Arial" w:hAnsi="Arial"/>
          <w:b w:val="false"/>
          <w:bCs w:val="false"/>
          <w:i w:val="false"/>
          <w:iCs w:val="false"/>
          <w:color w:val="000000"/>
          <w:sz w:val="22"/>
          <w:szCs w:val="22"/>
        </w:rPr>
        <w:t xml:space="preserve">Sustantivos derivados de verbos de acción mediante sufijos productivos en el español burocrático-jurídico ({-ción, -amiento, -miento, -aje, -ura}) que transforman un proceso agentivo en una entidad sin agente:</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SA_tipo3(token)  =  𝟙[ POS(tok)=NOUN ∧ (sufijo(tok) ∈ {-ción,...}) ∧ ¬∃ comp_agente(tok) ]</w:t>
      </w:r>
      <w:r>
        <w:rPr>
          <w:rFonts w:ascii="Arial" w:cs="Arial" w:eastAsia="Arial" w:hAnsi="Arial"/>
          <w:color w:val="888888"/>
          <w:sz w:val="20"/>
          <w:szCs w:val="20"/>
        </w:rPr>
        <w:t xml:space="preserve">   (3.24)</w:t>
      </w:r>
    </w:p>
    <w:p>
      <w:pPr>
        <w:spacing w:after="80" w:before="80"/>
        <w:jc w:val="both"/>
      </w:pPr>
      <w:r>
        <w:rPr>
          <w:rFonts w:ascii="Arial" w:cs="Arial" w:eastAsia="Arial" w:hAnsi="Arial"/>
          <w:b w:val="false"/>
          <w:bCs w:val="false"/>
          <w:i w:val="false"/>
          <w:iCs w:val="false"/>
          <w:color w:val="000000"/>
          <w:sz w:val="22"/>
          <w:szCs w:val="22"/>
        </w:rPr>
        <w:t xml:space="preserve">Ejemplo: «la neutralización del objetivo» (nominalización de «neutralizar», agente suprimido).</w:t>
      </w:r>
    </w:p>
    <w:p>
      <w:pPr>
        <w:pStyle w:val="Heading3"/>
        <w:spacing w:after="100" w:before="220"/>
      </w:pPr>
      <w:r>
        <w:rPr>
          <w:rFonts w:ascii="Arial" w:cs="Arial" w:eastAsia="Arial" w:hAnsi="Arial"/>
          <w:b/>
          <w:bCs/>
          <w:color w:val="1F4E79"/>
          <w:sz w:val="24"/>
          <w:szCs w:val="24"/>
        </w:rPr>
        <w:t xml:space="preserve">3.2.4 Fórmula del SA Score</w:t>
      </w:r>
    </w:p>
    <w:p>
      <w:pPr>
        <w:spacing w:after="80" w:before="80"/>
        <w:jc w:val="both"/>
      </w:pPr>
      <w:r>
        <w:rPr>
          <w:rFonts w:ascii="Arial" w:cs="Arial" w:eastAsia="Arial" w:hAnsi="Arial"/>
          <w:b w:val="false"/>
          <w:bCs w:val="false"/>
          <w:i w:val="false"/>
          <w:iCs w:val="false"/>
          <w:color w:val="000000"/>
          <w:sz w:val="22"/>
          <w:szCs w:val="22"/>
        </w:rPr>
        <w:t xml:space="preserve">El SA Score del bloque b con n_cláusulas cláusulas y m_tokens tokens es:</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SA_Score(b)  =  (SA_tipo1(b) + SA_tipo2(b) + SA_tipo3(b)) / n_cláusulas(b)</w:t>
      </w:r>
      <w:r>
        <w:rPr>
          <w:rFonts w:ascii="Arial" w:cs="Arial" w:eastAsia="Arial" w:hAnsi="Arial"/>
          <w:color w:val="888888"/>
          <w:sz w:val="20"/>
          <w:szCs w:val="20"/>
        </w:rPr>
        <w:t xml:space="preserve">   (3.25)</w:t>
      </w:r>
    </w:p>
    <w:p>
      <w:pPr>
        <w:spacing w:after="80" w:before="80"/>
        <w:jc w:val="both"/>
      </w:pPr>
      <w:r>
        <w:rPr>
          <w:rFonts w:ascii="Arial" w:cs="Arial" w:eastAsia="Arial" w:hAnsi="Arial"/>
          <w:b w:val="false"/>
          <w:bCs w:val="false"/>
          <w:i w:val="false"/>
          <w:iCs w:val="false"/>
          <w:color w:val="000000"/>
          <w:sz w:val="22"/>
          <w:szCs w:val="22"/>
        </w:rPr>
        <w:t xml:space="preserve">donde SA_tipo1(b), SA_tipo2(b) y SA_tipo3(b) son los conteos de cláusulas/tokens detectados por cada tipo. El SA Score oscila en [0, ∞) pero en la práctica no supera 2 (algunos bloques tienen más detecciones que cláusulas por la doble contabilización de tipo 3).</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1"/>
              <w:left w:val="single" w:color="BFBFBF" w:sz="1"/>
              <w:bottom w:val="single" w:color="BFBFBF" w:sz="1"/>
              <w:right w:val="single" w:color="BFBFBF" w:sz="1"/>
            </w:tcBorders>
            <w:shd w:fill="FFF2CC" w:val="clear"/>
            <w:tcMar>
              <w:top w:type="dxa" w:w="100"/>
              <w:left w:type="dxa" w:w="160"/>
              <w:bottom w:type="dxa" w:w="100"/>
              <w:right w:type="dxa" w:w="160"/>
            </w:tcMar>
          </w:tcPr>
          <w:p>
            <w:r>
              <w:rPr>
                <w:rFonts w:ascii="Arial" w:cs="Arial" w:eastAsia="Arial" w:hAnsi="Arial"/>
                <w:i/>
                <w:iCs/>
                <w:sz w:val="20"/>
                <w:szCs w:val="20"/>
              </w:rPr>
              <w:t xml:space="preserve">Resultado clave: SA Score no difiere entre Corpus A (0.885) y Corpus B (0.913), p=0.934 n.s. Esto indica que la SA es una convención estructural del texto jurídico-institucional colombiano, no un indicador discriminante entre sistemas de justicia. Sin embargo, en el path analysis el SA sí predice REP (β=+0.095, p&lt;0.001), lo que sugiere que la SA coexiste con el reconocimiento en los documentos JEP.</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2"/>
          <w:szCs w:val="32"/>
        </w:rPr>
        <w:t xml:space="preserve">4. Features acústicas eGeMAPS v02 — ICM vocal</w:t>
      </w:r>
    </w:p>
    <w:p>
      <w:pPr>
        <w:pStyle w:val="Heading2"/>
        <w:spacing w:after="140" w:before="300"/>
      </w:pPr>
      <w:r>
        <w:rPr>
          <w:rFonts w:ascii="Arial" w:cs="Arial" w:eastAsia="Arial" w:hAnsi="Arial"/>
          <w:b/>
          <w:bCs/>
          <w:color w:val="2E75B6"/>
          <w:sz w:val="26"/>
          <w:szCs w:val="26"/>
        </w:rPr>
        <w:t xml:space="preserve">4.1 El conjunto de features eGeMAPS</w:t>
      </w:r>
    </w:p>
    <w:p>
      <w:pPr>
        <w:spacing w:after="80" w:before="80"/>
        <w:jc w:val="both"/>
      </w:pPr>
      <w:r>
        <w:rPr>
          <w:rFonts w:ascii="Arial" w:cs="Arial" w:eastAsia="Arial" w:hAnsi="Arial"/>
          <w:b w:val="false"/>
          <w:bCs w:val="false"/>
          <w:i w:val="false"/>
          <w:iCs w:val="false"/>
          <w:color w:val="000000"/>
          <w:sz w:val="22"/>
          <w:szCs w:val="22"/>
        </w:rPr>
        <w:t xml:space="preserve">El conjunto eGeMAPS (extended Geneva Minimalistic Acoustic Parameter Set, Eyben et al., 2016) fue diseñado específicamente para aplicaciones de análisis de voz con correlatos emocionales. La versión v02 con 88 features usada en CFH se compone de features de bajo nivel (LLDs) y sus funcionales estadísticos: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Grupo de features</w:t>
            </w:r>
          </w:p>
        </w:tc>
        <w:tc>
          <w:tcPr>
            <w:tcW w:type="dxa" w:w="14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N features</w:t>
            </w:r>
          </w:p>
        </w:tc>
        <w:tc>
          <w:tcPr>
            <w:tcW w:type="dxa" w:w="24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LLDs base</w:t>
            </w:r>
          </w:p>
        </w:tc>
        <w:tc>
          <w:tcPr>
            <w:tcW w:type="dxa" w:w="24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Funcionales</w:t>
            </w:r>
          </w:p>
        </w:tc>
      </w:tr>
      <w:tr>
        <w:tc>
          <w:tcPr>
            <w:tcW w:type="dxa" w:w="2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Frecuencia fundamental (F0)</w:t>
            </w:r>
          </w:p>
        </w:tc>
        <w:tc>
          <w:tcPr>
            <w:tcW w:type="dxa" w:w="1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20</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F0 semitone, F0 voiced</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Media, desv. std, percentiles 20/50/80, rango, pendiente</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Energía / Intensidad (loudness)</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20</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Loudness, shimmer</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Media, desv. std, percentiles, rango de percentiles</w:t>
            </w:r>
          </w:p>
        </w:tc>
      </w:tr>
      <w:tr>
        <w:tc>
          <w:tcPr>
            <w:tcW w:type="dxa" w:w="2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Calidad espectral</w:t>
            </w:r>
          </w:p>
        </w:tc>
        <w:tc>
          <w:tcPr>
            <w:tcW w:type="dxa" w:w="1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16</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Jitter, HNR, Alpha Ratio</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Media, desv. std, pendiente lineal</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Características cepstrales</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16</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MFCCs 1–4</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Media, desv. std por coeficiente</w:t>
            </w:r>
          </w:p>
        </w:tc>
      </w:tr>
      <w:tr>
        <w:tc>
          <w:tcPr>
            <w:tcW w:type="dxa" w:w="2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Rasgos suprasegmentales</w:t>
            </w:r>
          </w:p>
        </w:tc>
        <w:tc>
          <w:tcPr>
            <w:tcW w:type="dxa" w:w="1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16</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Rate of loudness peaks, mean length voiced/unvoiced</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Media, desv. std</w:t>
            </w:r>
          </w:p>
        </w:tc>
      </w:tr>
    </w:tbl>
    <w:p>
      <w:pPr>
        <w:spacing w:after="200" w:before="80"/>
        <w:jc w:val="center"/>
      </w:pPr>
      <w:r>
        <w:rPr>
          <w:rFonts w:ascii="Arial" w:cs="Arial" w:eastAsia="Arial" w:hAnsi="Arial"/>
          <w:i/>
          <w:iCs/>
          <w:color w:val="666666"/>
          <w:sz w:val="18"/>
          <w:szCs w:val="18"/>
        </w:rPr>
        <w:t xml:space="preserve">Tabla 4.1. Estructura del conjunto eGeMAPS v02 (88 features). Fuente: Eyben et al. (2016), adaptado.</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4.2 Definición matemática de shimmer y F0_stddev</w:t>
      </w:r>
    </w:p>
    <w:p>
      <w:pPr>
        <w:pStyle w:val="Heading3"/>
        <w:spacing w:after="100" w:before="220"/>
      </w:pPr>
      <w:r>
        <w:rPr>
          <w:rFonts w:ascii="Arial" w:cs="Arial" w:eastAsia="Arial" w:hAnsi="Arial"/>
          <w:b/>
          <w:bCs/>
          <w:color w:val="1F4E79"/>
          <w:sz w:val="24"/>
          <w:szCs w:val="24"/>
        </w:rPr>
        <w:t xml:space="preserve">4.2.1 Shimmer (irregularidad de amplitud)</w:t>
      </w:r>
    </w:p>
    <w:p>
      <w:pPr>
        <w:spacing w:after="80" w:before="80"/>
        <w:jc w:val="both"/>
      </w:pPr>
      <w:r>
        <w:rPr>
          <w:rFonts w:ascii="Arial" w:cs="Arial" w:eastAsia="Arial" w:hAnsi="Arial"/>
          <w:b w:val="false"/>
          <w:bCs w:val="false"/>
          <w:i w:val="false"/>
          <w:iCs w:val="false"/>
          <w:color w:val="000000"/>
          <w:sz w:val="22"/>
          <w:szCs w:val="22"/>
        </w:rPr>
        <w:t xml:space="preserve">El shimmer mide la variabilidad ciclo a ciclo en la amplitud de la señal de voz — un indicador de carga emocional vocal. Sea A_i la amplitud pico del ciclo glótico i:</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Shimmer_localDB  =  (1/(N-1)) Σ_{i=1}^{N-1} | 20·log₁₀(A_{i+1}/A_i) |   [dB]</w:t>
      </w:r>
      <w:r>
        <w:rPr>
          <w:rFonts w:ascii="Arial" w:cs="Arial" w:eastAsia="Arial" w:hAnsi="Arial"/>
          <w:color w:val="888888"/>
          <w:sz w:val="20"/>
          <w:szCs w:val="20"/>
        </w:rPr>
        <w:t xml:space="preserve">   (4.26)</w:t>
      </w:r>
    </w:p>
    <w:p>
      <w:pPr>
        <w:spacing w:after="80" w:before="80"/>
        <w:jc w:val="both"/>
      </w:pPr>
      <w:r>
        <w:rPr>
          <w:rFonts w:ascii="Arial" w:cs="Arial" w:eastAsia="Arial" w:hAnsi="Arial"/>
          <w:b w:val="false"/>
          <w:bCs w:val="false"/>
          <w:i w:val="false"/>
          <w:iCs w:val="false"/>
          <w:color w:val="000000"/>
          <w:sz w:val="22"/>
          <w:szCs w:val="22"/>
        </w:rPr>
        <w:t xml:space="preserve">Un shimmer_localDB alto indica mayor irregularidad en la amplitud de voz — asociado en la literatura a distress emocional (Baird &amp; Coutinho, 2019; Scientific Reports, 2024). El rango típico de habla emocional intensa oscila entre 1.0 y 3.0 dB; habla monótona/controlada se sitúa usualmente por debajo de 0.5 dB.</w:t>
      </w:r>
    </w:p>
    <w:p>
      <w:pPr>
        <w:pStyle w:val="Heading3"/>
        <w:spacing w:after="100" w:before="220"/>
      </w:pPr>
      <w:r>
        <w:rPr>
          <w:rFonts w:ascii="Arial" w:cs="Arial" w:eastAsia="Arial" w:hAnsi="Arial"/>
          <w:b/>
          <w:bCs/>
          <w:color w:val="1F4E79"/>
          <w:sz w:val="24"/>
          <w:szCs w:val="24"/>
        </w:rPr>
        <w:t xml:space="preserve">4.2.2 Desviación estándar de F0 (pitch)</w:t>
      </w:r>
    </w:p>
    <w:p>
      <w:pPr>
        <w:spacing w:after="80" w:before="80"/>
        <w:jc w:val="both"/>
      </w:pPr>
      <w:r>
        <w:rPr>
          <w:rFonts w:ascii="Arial" w:cs="Arial" w:eastAsia="Arial" w:hAnsi="Arial"/>
          <w:b w:val="false"/>
          <w:bCs w:val="false"/>
          <w:i w:val="false"/>
          <w:iCs w:val="false"/>
          <w:color w:val="000000"/>
          <w:sz w:val="22"/>
          <w:szCs w:val="22"/>
        </w:rPr>
        <w:t xml:space="preserve">F0 es la frecuencia fundamental del habla — el «pitch». Sea f_i la frecuencia fundamental estimada en el frame i de los frames voicizados del segmento:</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F0_mean  =  (1/M) Σ_{i=1}^{M} f_i</w:t>
      </w:r>
      <w:r>
        <w:rPr>
          <w:rFonts w:ascii="Arial" w:cs="Arial" w:eastAsia="Arial" w:hAnsi="Arial"/>
          <w:color w:val="888888"/>
          <w:sz w:val="20"/>
          <w:szCs w:val="20"/>
        </w:rPr>
        <w:t xml:space="preserve">   (4.27)</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F0_stddev  =  √( (1/M) Σ_{i=1}^{M} (f_i − F0_mean)² )   [Hz]</w:t>
      </w:r>
      <w:r>
        <w:rPr>
          <w:rFonts w:ascii="Arial" w:cs="Arial" w:eastAsia="Arial" w:hAnsi="Arial"/>
          <w:color w:val="888888"/>
          <w:sz w:val="20"/>
          <w:szCs w:val="20"/>
        </w:rPr>
        <w:t xml:space="preserve">   (4.28)</w:t>
      </w:r>
    </w:p>
    <w:p>
      <w:pPr>
        <w:spacing w:after="80" w:before="80"/>
        <w:jc w:val="both"/>
      </w:pPr>
      <w:r>
        <w:rPr>
          <w:rFonts w:ascii="Arial" w:cs="Arial" w:eastAsia="Arial" w:hAnsi="Arial"/>
          <w:b w:val="false"/>
          <w:bCs w:val="false"/>
          <w:i w:val="false"/>
          <w:iCs w:val="false"/>
          <w:color w:val="000000"/>
          <w:sz w:val="22"/>
          <w:szCs w:val="22"/>
        </w:rPr>
        <w:t xml:space="preserve">Una F0_stddev alta indica mayor variabilidad melódica del discurso — correlato de modulación emocional vocal.</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4.3 Pipeline de extracción en el Corpus C</w:t>
      </w:r>
    </w:p>
    <w:p>
      <w:pPr>
        <w:pStyle w:val="ListParagraph"/>
        <w:numPr>
          <w:ilvl w:val="0"/>
          <w:numId w:val="2"/>
        </w:numPr>
        <w:spacing w:after="70" w:before="70"/>
      </w:pPr>
      <w:r>
        <w:rPr>
          <w:rFonts w:ascii="Arial" w:cs="Arial" w:eastAsia="Arial" w:hAnsi="Arial"/>
          <w:sz w:val="22"/>
          <w:szCs w:val="22"/>
        </w:rPr>
        <w:t xml:space="preserve">Conversión de audio a WAV mono, 16kHz, 16-bit PCM (format requerido por eGeMAPS).</w:t>
      </w:r>
    </w:p>
    <w:p>
      <w:pPr>
        <w:pStyle w:val="ListParagraph"/>
        <w:numPr>
          <w:ilvl w:val="0"/>
          <w:numId w:val="2"/>
        </w:numPr>
        <w:spacing w:after="70" w:before="70"/>
      </w:pPr>
      <w:r>
        <w:rPr>
          <w:rFonts w:ascii="Arial" w:cs="Arial" w:eastAsia="Arial" w:hAnsi="Arial"/>
          <w:sz w:val="22"/>
          <w:szCs w:val="22"/>
        </w:rPr>
        <w:t xml:space="preserve">Aplicación del diarizador pyannote-audio 2.1 para obtener timestamps del compareciente: {start_seg, end_seg, speaker_id}.</w:t>
      </w:r>
    </w:p>
    <w:p>
      <w:pPr>
        <w:pStyle w:val="ListParagraph"/>
        <w:numPr>
          <w:ilvl w:val="0"/>
          <w:numId w:val="2"/>
        </w:numPr>
        <w:spacing w:after="70" w:before="70"/>
      </w:pPr>
      <w:r>
        <w:rPr>
          <w:rFonts w:ascii="Arial" w:cs="Arial" w:eastAsia="Arial" w:hAnsi="Arial"/>
          <w:sz w:val="22"/>
          <w:szCs w:val="22"/>
        </w:rPr>
        <w:t xml:space="preserve">Segmentación del WAV según timestamps: extracción de los fragmentos de audio del compareciente.</w:t>
      </w:r>
    </w:p>
    <w:p>
      <w:pPr>
        <w:pStyle w:val="ListParagraph"/>
        <w:numPr>
          <w:ilvl w:val="0"/>
          <w:numId w:val="2"/>
        </w:numPr>
        <w:spacing w:after="70" w:before="70"/>
      </w:pPr>
      <w:r>
        <w:rPr>
          <w:rFonts w:ascii="Arial" w:cs="Arial" w:eastAsia="Arial" w:hAnsi="Arial"/>
          <w:sz w:val="22"/>
          <w:szCs w:val="22"/>
        </w:rPr>
        <w:t xml:space="preserve">Extracción de features eGeMAPS con OpenSMILE 2.3.0 en modo ventana deslizante de 10 segundos con solapamiento del 50%.</w:t>
      </w:r>
    </w:p>
    <w:p>
      <w:pPr>
        <w:pStyle w:val="ListParagraph"/>
        <w:numPr>
          <w:ilvl w:val="0"/>
          <w:numId w:val="2"/>
        </w:numPr>
        <w:spacing w:after="70" w:before="70"/>
      </w:pPr>
      <w:r>
        <w:rPr>
          <w:rFonts w:ascii="Arial" w:cs="Arial" w:eastAsia="Arial" w:hAnsi="Arial"/>
          <w:sz w:val="22"/>
          <w:szCs w:val="22"/>
        </w:rPr>
        <w:t xml:space="preserve">Filtrado de ventanas con energía insuficiente (silencio, fondo) mediante umbral de loudness: loudness_mean &lt; percentil 5 del corpus.</w:t>
      </w:r>
    </w:p>
    <w:p>
      <w:pPr>
        <w:pStyle w:val="ListParagraph"/>
        <w:numPr>
          <w:ilvl w:val="0"/>
          <w:numId w:val="2"/>
        </w:numPr>
        <w:spacing w:after="70" w:before="70"/>
      </w:pPr>
      <w:r>
        <w:rPr>
          <w:rFonts w:ascii="Arial" w:cs="Arial" w:eastAsia="Arial" w:hAnsi="Arial"/>
          <w:sz w:val="22"/>
          <w:szCs w:val="22"/>
        </w:rPr>
        <w:t xml:space="preserve">Agregación: media y desviación estándar de cada feature sobre todas las ventanas del compareciente por subcaso.</w:t>
      </w:r>
    </w:p>
    <w:p>
      <w:pPr>
        <w:spacing w:after="80" w:before="80"/>
        <w:jc w:val="both"/>
      </w:pPr>
      <w:r>
        <w:rPr>
          <w:rFonts w:ascii="Arial" w:cs="Arial" w:eastAsia="Arial" w:hAnsi="Arial"/>
          <w:b w:val="false"/>
          <w:bCs w:val="false"/>
          <w:i w:val="false"/>
          <w:iCs w:val="false"/>
          <w:color w:val="000000"/>
          <w:sz w:val="22"/>
          <w:szCs w:val="22"/>
        </w:rPr>
        <w:t xml:space="preserve">Total de ventanas extraídas: 10.897 (Casanare=354, Catatumbo=332, Dabeiba=83, Huila=342, más ventanas de otros hablantes no usadas en ICM).</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4.4 Fórmula del ICM vocal</w:t>
      </w:r>
    </w:p>
    <w:p>
      <w:pPr>
        <w:spacing w:after="80" w:before="80"/>
        <w:jc w:val="both"/>
      </w:pPr>
      <w:r>
        <w:rPr>
          <w:rFonts w:ascii="Arial" w:cs="Arial" w:eastAsia="Arial" w:hAnsi="Arial"/>
          <w:b w:val="false"/>
          <w:bCs w:val="false"/>
          <w:i w:val="false"/>
          <w:iCs w:val="false"/>
          <w:color w:val="000000"/>
          <w:sz w:val="22"/>
          <w:szCs w:val="22"/>
        </w:rPr>
        <w:t xml:space="preserve">El ICM vocal del compareciente en el subcaso s es la media normalizada de los dos indicadores prosódicos de carga emocional:</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ICM_vocal(s)  =  ( shimmer_norm(s)  +  F0_stddev_norm(s) ) / 2</w:t>
      </w:r>
      <w:r>
        <w:rPr>
          <w:rFonts w:ascii="Arial" w:cs="Arial" w:eastAsia="Arial" w:hAnsi="Arial"/>
          <w:color w:val="888888"/>
          <w:sz w:val="20"/>
          <w:szCs w:val="20"/>
        </w:rPr>
        <w:t xml:space="preserve">   (4.29)</w:t>
      </w:r>
    </w:p>
    <w:p>
      <w:pPr>
        <w:spacing w:after="80" w:before="80"/>
        <w:jc w:val="both"/>
      </w:pPr>
      <w:r>
        <w:rPr>
          <w:rFonts w:ascii="Arial" w:cs="Arial" w:eastAsia="Arial" w:hAnsi="Arial"/>
          <w:b w:val="false"/>
          <w:bCs w:val="false"/>
          <w:i w:val="false"/>
          <w:iCs w:val="false"/>
          <w:color w:val="000000"/>
          <w:sz w:val="22"/>
          <w:szCs w:val="22"/>
        </w:rPr>
        <w:t xml:space="preserve">donde la normalización min-max se aplica entre los cuatro subcasos disponibles:</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x_norm(s)  =  (x(s) − x_min) / (x_max − x_min)   ∈  [0, 1]</w:t>
      </w:r>
      <w:r>
        <w:rPr>
          <w:rFonts w:ascii="Arial" w:cs="Arial" w:eastAsia="Arial" w:hAnsi="Arial"/>
          <w:color w:val="888888"/>
          <w:sz w:val="20"/>
          <w:szCs w:val="20"/>
        </w:rPr>
        <w:t xml:space="preserve">   (4.30)</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2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Subcaso</w:t>
            </w:r>
          </w:p>
        </w:tc>
        <w:tc>
          <w:tcPr>
            <w:tcW w:type="dxa" w:w="16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Shimmer (dB)</w:t>
            </w:r>
          </w:p>
        </w:tc>
        <w:tc>
          <w:tcPr>
            <w:tcW w:type="dxa" w:w="16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F0 stddev (Hz)</w:t>
            </w:r>
          </w:p>
        </w:tc>
        <w:tc>
          <w:tcPr>
            <w:tcW w:type="dxa" w:w="16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Shimmer norm</w:t>
            </w:r>
          </w:p>
        </w:tc>
        <w:tc>
          <w:tcPr>
            <w:tcW w:type="dxa" w:w="16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F0_std norm</w:t>
            </w:r>
          </w:p>
        </w:tc>
        <w:tc>
          <w:tcPr>
            <w:tcW w:type="dxa" w:w="136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ICM_vocal</w:t>
            </w:r>
          </w:p>
        </w:tc>
      </w:tr>
      <w:tr>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Casanare (Gral. Torres)</w:t>
            </w:r>
          </w:p>
        </w:tc>
        <w:tc>
          <w:tcPr>
            <w:tcW w:type="dxa" w:w="1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1.42</w:t>
            </w:r>
          </w:p>
        </w:tc>
        <w:tc>
          <w:tcPr>
            <w:tcW w:type="dxa" w:w="1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31.8</w:t>
            </w:r>
          </w:p>
        </w:tc>
        <w:tc>
          <w:tcPr>
            <w:tcW w:type="dxa" w:w="1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1.00</w:t>
            </w:r>
          </w:p>
        </w:tc>
        <w:tc>
          <w:tcPr>
            <w:tcW w:type="dxa" w:w="1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0.70</w:t>
            </w:r>
          </w:p>
        </w:tc>
        <w:tc>
          <w:tcPr>
            <w:tcW w:type="dxa" w:w="13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0.415</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Catatumbo (Cap. Chaparro)</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0.87</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28.4</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0.51</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0.55</w:t>
            </w:r>
          </w:p>
        </w:tc>
        <w:tc>
          <w:tcPr>
            <w:tcW w:type="dxa" w:w="1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0.317</w:t>
            </w:r>
          </w:p>
        </w:tc>
      </w:tr>
      <w:tr>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Dabeiba (Oficial)</w:t>
            </w:r>
          </w:p>
        </w:tc>
        <w:tc>
          <w:tcPr>
            <w:tcW w:type="dxa" w:w="1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1.28</w:t>
            </w:r>
          </w:p>
        </w:tc>
        <w:tc>
          <w:tcPr>
            <w:tcW w:type="dxa" w:w="1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38.2</w:t>
            </w:r>
          </w:p>
        </w:tc>
        <w:tc>
          <w:tcPr>
            <w:tcW w:type="dxa" w:w="1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0.88</w:t>
            </w:r>
          </w:p>
        </w:tc>
        <w:tc>
          <w:tcPr>
            <w:tcW w:type="dxa" w:w="1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1.00</w:t>
            </w:r>
          </w:p>
        </w:tc>
        <w:tc>
          <w:tcPr>
            <w:tcW w:type="dxa" w:w="13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0.452</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Huila (soldados)</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1.09</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33.1</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0.69</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0.78</w:t>
            </w:r>
          </w:p>
        </w:tc>
        <w:tc>
          <w:tcPr>
            <w:tcW w:type="dxa" w:w="1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0.384</w:t>
            </w:r>
          </w:p>
        </w:tc>
      </w:tr>
    </w:tbl>
    <w:p>
      <w:pPr>
        <w:spacing w:after="200" w:before="80"/>
        <w:jc w:val="center"/>
      </w:pPr>
      <w:r>
        <w:rPr>
          <w:rFonts w:ascii="Arial" w:cs="Arial" w:eastAsia="Arial" w:hAnsi="Arial"/>
          <w:i/>
          <w:iCs/>
          <w:color w:val="666666"/>
          <w:sz w:val="18"/>
          <w:szCs w:val="18"/>
        </w:rPr>
        <w:t xml:space="preserve">Tabla 4.2. ICM vocal por subcaso. Shimmer y F0 stddev = media sobre ventanas del compareciente. Normalizados min-max entre los 4 subcasos.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1"/>
              <w:left w:val="single" w:color="BFBFBF" w:sz="1"/>
              <w:bottom w:val="single" w:color="BFBFBF" w:sz="1"/>
              <w:right w:val="single" w:color="BFBFBF" w:sz="1"/>
            </w:tcBorders>
            <w:shd w:fill="FCE4D6" w:val="clear"/>
            <w:tcMar>
              <w:top w:type="dxa" w:w="100"/>
              <w:left w:type="dxa" w:w="160"/>
              <w:bottom w:type="dxa" w:w="100"/>
              <w:right w:type="dxa" w:w="160"/>
            </w:tcMar>
          </w:tcPr>
          <w:p>
            <w:r>
              <w:rPr>
                <w:rFonts w:ascii="Arial" w:cs="Arial" w:eastAsia="Arial" w:hAnsi="Arial"/>
                <w:i/>
                <w:iCs/>
                <w:sz w:val="20"/>
                <w:szCs w:val="20"/>
              </w:rPr>
              <w:t xml:space="preserve">Hallazgo paradojal: Casanare (Gral. Torres Escalante) tiene el shimmer más alto del corpus (1.42 dB, ICM_vocal=0.415) pero el ICM facial más bajo (0.190, dominancia AU12 sonrisa). La divergencia Δ vocal-facial = 0.225 es la más alta del corpus — el canal vocal comunica carga emocional mientras el canal facial comunica sonrisa. Esta incongruencia inter-canal es el patrón más alejado de la congruencia multimodal en el corpus C.</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2"/>
          <w:szCs w:val="32"/>
        </w:rPr>
        <w:t xml:space="preserve">5. MediaPipe FaceLandmarker — Action Units e ICM facial</w:t>
      </w:r>
    </w:p>
    <w:p>
      <w:pPr>
        <w:pStyle w:val="Heading2"/>
        <w:spacing w:after="140" w:before="300"/>
      </w:pPr>
      <w:r>
        <w:rPr>
          <w:rFonts w:ascii="Arial" w:cs="Arial" w:eastAsia="Arial" w:hAnsi="Arial"/>
          <w:b/>
          <w:bCs/>
          <w:color w:val="2E75B6"/>
          <w:sz w:val="26"/>
          <w:szCs w:val="26"/>
        </w:rPr>
        <w:t xml:space="preserve">5.1 Fundamento: Action Units (FACS)</w:t>
      </w:r>
    </w:p>
    <w:p>
      <w:pPr>
        <w:spacing w:after="80" w:before="80"/>
        <w:jc w:val="both"/>
      </w:pPr>
      <w:r>
        <w:rPr>
          <w:rFonts w:ascii="Arial" w:cs="Arial" w:eastAsia="Arial" w:hAnsi="Arial"/>
          <w:b w:val="false"/>
          <w:bCs w:val="false"/>
          <w:i w:val="false"/>
          <w:iCs w:val="false"/>
          <w:color w:val="000000"/>
          <w:sz w:val="22"/>
          <w:szCs w:val="22"/>
        </w:rPr>
        <w:t xml:space="preserve">El Sistema de Codificación de Acción Facial (FACS, Ekman &amp; Friesen, 1978) descompone el movimiento facial en unidades musculares independientes (Action Units). MediaPipe FaceLandmarker estima los scores AU a partir de 478 puntos de referencia (landmarks) faciales detectados en cada frame. Los scores AU oscilan en [0,1], donde 1 indica activación máxima.</w:t>
      </w:r>
    </w:p>
    <w:p>
      <w:pPr>
        <w:spacing w:after="80" w:before="80"/>
        <w:jc w:val="both"/>
      </w:pPr>
      <w:r>
        <w:rPr>
          <w:rFonts w:ascii="Arial" w:cs="Arial" w:eastAsia="Arial" w:hAnsi="Arial"/>
          <w:b w:val="false"/>
          <w:bCs w:val="false"/>
          <w:i w:val="false"/>
          <w:iCs w:val="false"/>
          <w:color w:val="000000"/>
          <w:sz w:val="22"/>
          <w:szCs w:val="22"/>
        </w:rPr>
        <w:t xml:space="preserve">CFH usa tres AUs relevantes para el contexto de reconocimiento de responsabilidad: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AU</w:t>
            </w:r>
          </w:p>
        </w:tc>
        <w:tc>
          <w:tcPr>
            <w:tcW w:type="dxa" w:w="25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Músculo principal</w:t>
            </w:r>
          </w:p>
        </w:tc>
        <w:tc>
          <w:tcPr>
            <w:tcW w:type="dxa" w:w="25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Apariencia</w:t>
            </w:r>
          </w:p>
        </w:tc>
        <w:tc>
          <w:tcPr>
            <w:tcW w:type="dxa" w:w="32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Relevancia CFH</w:t>
            </w:r>
          </w:p>
        </w:tc>
      </w:tr>
      <w:tr>
        <w:tc>
          <w:tcPr>
            <w:tcW w:type="dxa" w:w="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AU4</w:t>
            </w:r>
          </w:p>
        </w:tc>
        <w:tc>
          <w:tcPr>
            <w:tcW w:type="dxa" w:w="2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Corrugador superciliar</w:t>
            </w:r>
          </w:p>
        </w:tc>
        <w:tc>
          <w:tcPr>
            <w:tcW w:type="dxa" w:w="2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Ceño fruncido — entrecejo contraído</w:t>
            </w:r>
          </w:p>
        </w:tc>
        <w:tc>
          <w:tcPr>
            <w:tcW w:type="dxa" w:w="3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Distress, concentración emocional intensa. Indicador de reconocimiento genuino.</w:t>
            </w:r>
          </w:p>
        </w:tc>
      </w:tr>
      <w:tr>
        <w:tc>
          <w:tcPr>
            <w:tcW w:type="dxa" w:w="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AU12</w:t>
            </w:r>
          </w:p>
        </w:tc>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Cigomático mayor</w:t>
            </w:r>
          </w:p>
        </w:tc>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Sonrisa — comisura labial hacia arriba-afuera</w:t>
            </w:r>
          </w:p>
        </w:tc>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Expresión social positiva. En contexto de reconocimiento de crimen: posible indicador performativo.</w:t>
            </w:r>
          </w:p>
        </w:tc>
      </w:tr>
      <w:tr>
        <w:tc>
          <w:tcPr>
            <w:tcW w:type="dxa" w:w="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AU15</w:t>
            </w:r>
          </w:p>
        </w:tc>
        <w:tc>
          <w:tcPr>
            <w:tcW w:type="dxa" w:w="2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Depresor del ángulo labial</w:t>
            </w:r>
          </w:p>
        </w:tc>
        <w:tc>
          <w:tcPr>
            <w:tcW w:type="dxa" w:w="2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Comisura labial hacia abajo — tristeza/dolor</w:t>
            </w:r>
          </w:p>
        </w:tc>
        <w:tc>
          <w:tcPr>
            <w:tcW w:type="dxa" w:w="3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Distress emocional. AU15+AU1+AU4 es el patrón clásico de tristeza en FACS.</w:t>
            </w:r>
          </w:p>
        </w:tc>
      </w:tr>
    </w:tbl>
    <w:p>
      <w:pPr>
        <w:spacing w:after="200" w:before="80"/>
        <w:jc w:val="center"/>
      </w:pPr>
      <w:r>
        <w:rPr>
          <w:rFonts w:ascii="Arial" w:cs="Arial" w:eastAsia="Arial" w:hAnsi="Arial"/>
          <w:i/>
          <w:iCs/>
          <w:color w:val="666666"/>
          <w:sz w:val="18"/>
          <w:szCs w:val="18"/>
        </w:rPr>
        <w:t xml:space="preserve">Tabla 5.1. Action Units usadas en el ICM facial. Scores en [0,1] — MediaPipe FaceLandmarker.</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5.2 Pipeline de extracción facial</w:t>
      </w:r>
    </w:p>
    <w:p>
      <w:pPr>
        <w:pStyle w:val="ListParagraph"/>
        <w:numPr>
          <w:ilvl w:val="0"/>
          <w:numId w:val="2"/>
        </w:numPr>
        <w:spacing w:after="70" w:before="70"/>
      </w:pPr>
      <w:r>
        <w:rPr>
          <w:rFonts w:ascii="Arial" w:cs="Arial" w:eastAsia="Arial" w:hAnsi="Arial"/>
          <w:sz w:val="22"/>
          <w:szCs w:val="22"/>
        </w:rPr>
        <w:t xml:space="preserve">Segmentación de frames: usando los timestamps de diarización pyannote-audio, se extraen los frames del video correspondientes a los segmentos del compareciente.</w:t>
      </w:r>
    </w:p>
    <w:p>
      <w:pPr>
        <w:pStyle w:val="ListParagraph"/>
        <w:numPr>
          <w:ilvl w:val="0"/>
          <w:numId w:val="2"/>
        </w:numPr>
        <w:spacing w:after="70" w:before="70"/>
      </w:pPr>
      <w:r>
        <w:rPr>
          <w:rFonts w:ascii="Arial" w:cs="Arial" w:eastAsia="Arial" w:hAnsi="Arial"/>
          <w:sz w:val="22"/>
          <w:szCs w:val="22"/>
        </w:rPr>
        <w:t xml:space="preserve">Configuración MediaPipe: umbral de detección mínima=0.3, máximo 50 frames por segmento (submuestreo temporal para reducir carga computacional preservando cobertura), recorte por cuadrante superior (zona facial).</w:t>
      </w:r>
    </w:p>
    <w:p>
      <w:pPr>
        <w:pStyle w:val="ListParagraph"/>
        <w:numPr>
          <w:ilvl w:val="0"/>
          <w:numId w:val="2"/>
        </w:numPr>
        <w:spacing w:after="70" w:before="70"/>
      </w:pPr>
      <w:r>
        <w:rPr>
          <w:rFonts w:ascii="Arial" w:cs="Arial" w:eastAsia="Arial" w:hAnsi="Arial"/>
          <w:sz w:val="22"/>
          <w:szCs w:val="22"/>
        </w:rPr>
        <w:t xml:space="preserve">Detección facial: MediaPipe devuelve landmarks + scores AU por frame. Se descarta el frame si la confianza de detección &lt; 0.3.</w:t>
      </w:r>
    </w:p>
    <w:p>
      <w:pPr>
        <w:pStyle w:val="ListParagraph"/>
        <w:numPr>
          <w:ilvl w:val="0"/>
          <w:numId w:val="2"/>
        </w:numPr>
        <w:spacing w:after="70" w:before="70"/>
      </w:pPr>
      <w:r>
        <w:rPr>
          <w:rFonts w:ascii="Arial" w:cs="Arial" w:eastAsia="Arial" w:hAnsi="Arial"/>
          <w:sz w:val="22"/>
          <w:szCs w:val="22"/>
        </w:rPr>
        <w:t xml:space="preserve">Agregación por subcaso: media de cada AU sobre todos los frames detectados del compareciente.</w:t>
      </w:r>
    </w:p>
    <w:p>
      <w:pPr>
        <w:spacing w:after="80" w:before="80"/>
        <w:jc w:val="both"/>
      </w:pPr>
      <w:r>
        <w:rPr>
          <w:rFonts w:ascii="Arial" w:cs="Arial" w:eastAsia="Arial" w:hAnsi="Arial"/>
          <w:b w:val="false"/>
          <w:bCs w:val="false"/>
          <w:i w:val="false"/>
          <w:iCs w:val="false"/>
          <w:color w:val="000000"/>
          <w:sz w:val="22"/>
          <w:szCs w:val="22"/>
        </w:rPr>
        <w:t xml:space="preserve">Tasas de detección facial logradas: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Subcaso</w:t>
            </w:r>
          </w:p>
        </w:tc>
        <w:tc>
          <w:tcPr>
            <w:tcW w:type="dxa" w:w="18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Segmentos totales</w:t>
            </w:r>
          </w:p>
        </w:tc>
        <w:tc>
          <w:tcPr>
            <w:tcW w:type="dxa" w:w="18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Frames procesados</w:t>
            </w:r>
          </w:p>
        </w:tc>
        <w:tc>
          <w:tcPr>
            <w:tcW w:type="dxa" w:w="18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Frames detectados</w:t>
            </w:r>
          </w:p>
        </w:tc>
        <w:tc>
          <w:tcPr>
            <w:tcW w:type="dxa" w:w="196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Tasa detección</w:t>
            </w:r>
          </w:p>
        </w:tc>
      </w:tr>
      <w:tr>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Casanare</w:t>
            </w:r>
          </w:p>
        </w:tc>
        <w:tc>
          <w:tcPr>
            <w:tcW w:type="dxa" w:w="1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903</w:t>
            </w:r>
          </w:p>
        </w:tc>
        <w:tc>
          <w:tcPr>
            <w:tcW w:type="dxa" w:w="1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45.150</w:t>
            </w:r>
          </w:p>
        </w:tc>
        <w:tc>
          <w:tcPr>
            <w:tcW w:type="dxa" w:w="1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38.843</w:t>
            </w:r>
          </w:p>
        </w:tc>
        <w:tc>
          <w:tcPr>
            <w:tcW w:type="dxa" w:w="19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86%</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Catatumbo</w:t>
            </w:r>
          </w:p>
        </w:tc>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1.168</w:t>
            </w:r>
          </w:p>
        </w:tc>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58.400</w:t>
            </w:r>
          </w:p>
        </w:tc>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32.120</w:t>
            </w:r>
          </w:p>
        </w:tc>
        <w:tc>
          <w:tcPr>
            <w:tcW w:type="dxa" w:w="1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55%</w:t>
            </w:r>
          </w:p>
        </w:tc>
      </w:tr>
      <w:tr>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Huila</w:t>
            </w:r>
          </w:p>
        </w:tc>
        <w:tc>
          <w:tcPr>
            <w:tcW w:type="dxa" w:w="1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322</w:t>
            </w:r>
          </w:p>
        </w:tc>
        <w:tc>
          <w:tcPr>
            <w:tcW w:type="dxa" w:w="1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16.100</w:t>
            </w:r>
          </w:p>
        </w:tc>
        <w:tc>
          <w:tcPr>
            <w:tcW w:type="dxa" w:w="1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14.973</w:t>
            </w:r>
          </w:p>
        </w:tc>
        <w:tc>
          <w:tcPr>
            <w:tcW w:type="dxa" w:w="19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93%</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Dabeiba</w:t>
            </w:r>
          </w:p>
        </w:tc>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424</w:t>
            </w:r>
          </w:p>
        </w:tc>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21.200</w:t>
            </w:r>
          </w:p>
        </w:tc>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8.480</w:t>
            </w:r>
          </w:p>
        </w:tc>
        <w:tc>
          <w:tcPr>
            <w:tcW w:type="dxa" w:w="1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40%</w:t>
            </w:r>
          </w:p>
        </w:tc>
      </w:tr>
    </w:tbl>
    <w:p>
      <w:pPr>
        <w:spacing w:after="200" w:before="80"/>
        <w:jc w:val="center"/>
      </w:pPr>
      <w:r>
        <w:rPr>
          <w:rFonts w:ascii="Arial" w:cs="Arial" w:eastAsia="Arial" w:hAnsi="Arial"/>
          <w:i/>
          <w:iCs/>
          <w:color w:val="666666"/>
          <w:sz w:val="18"/>
          <w:szCs w:val="18"/>
        </w:rPr>
        <w:t xml:space="preserve">Tabla 5.2. Tasas de detección facial MediaPipe por subcaso. La baja tasa de Dabeiba (40%) limita la robustez de su ICM facial.</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5.3 Fórmula del ICM facial</w:t>
      </w:r>
    </w:p>
    <w:p>
      <w:pPr>
        <w:spacing w:after="80" w:before="80"/>
        <w:jc w:val="both"/>
      </w:pPr>
      <w:r>
        <w:rPr>
          <w:rFonts w:ascii="Arial" w:cs="Arial" w:eastAsia="Arial" w:hAnsi="Arial"/>
          <w:b w:val="false"/>
          <w:bCs w:val="false"/>
          <w:i w:val="false"/>
          <w:iCs w:val="false"/>
          <w:color w:val="000000"/>
          <w:sz w:val="22"/>
          <w:szCs w:val="22"/>
        </w:rPr>
        <w:t xml:space="preserve">El ICM facial operacionaliza la distinción reconocimiento genuino / performativo de Zehr (2002) a nivel de expresión facial. Los componentes son:</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distress(s)  =  (AU4_mean(s)  +  AU15_mean(s)) / 2</w:t>
      </w:r>
      <w:r>
        <w:rPr>
          <w:rFonts w:ascii="Arial" w:cs="Arial" w:eastAsia="Arial" w:hAnsi="Arial"/>
          <w:color w:val="888888"/>
          <w:sz w:val="20"/>
          <w:szCs w:val="20"/>
        </w:rPr>
        <w:t xml:space="preserve">   (5.31)</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sonrisa(s)  =  AU12_mean(s)</w:t>
      </w:r>
      <w:r>
        <w:rPr>
          <w:rFonts w:ascii="Arial" w:cs="Arial" w:eastAsia="Arial" w:hAnsi="Arial"/>
          <w:color w:val="888888"/>
          <w:sz w:val="20"/>
          <w:szCs w:val="20"/>
        </w:rPr>
        <w:t xml:space="preserve">   (5.32)</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ICM_facial(s)  =  distress(s) / (distress(s)  +  sonrisa(s))</w:t>
      </w:r>
      <w:r>
        <w:rPr>
          <w:rFonts w:ascii="Arial" w:cs="Arial" w:eastAsia="Arial" w:hAnsi="Arial"/>
          <w:color w:val="888888"/>
          <w:sz w:val="20"/>
          <w:szCs w:val="20"/>
        </w:rPr>
        <w:t xml:space="preserve">   (5.33)</w:t>
      </w:r>
    </w:p>
    <w:p>
      <w:pPr>
        <w:spacing w:after="80" w:before="80"/>
        <w:jc w:val="both"/>
      </w:pPr>
      <w:r>
        <w:rPr>
          <w:rFonts w:ascii="Arial" w:cs="Arial" w:eastAsia="Arial" w:hAnsi="Arial"/>
          <w:b w:val="false"/>
          <w:bCs w:val="false"/>
          <w:i w:val="false"/>
          <w:iCs w:val="false"/>
          <w:color w:val="000000"/>
          <w:sz w:val="22"/>
          <w:szCs w:val="22"/>
        </w:rPr>
        <w:t xml:space="preserve">La fórmula es un ratio que oscila en [0,1]: ICM_facial=1 si toda la expresión es distress y ninguna sonrisa; ICM_facial=0 si toda la expresión es sonrisa y ningún distress. Valores intermedios reflejan mezcla de ambas señales.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20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Subcaso</w:t>
            </w:r>
          </w:p>
        </w:tc>
        <w:tc>
          <w:tcPr>
            <w:tcW w:type="dxa" w:w="11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AU4 mean</w:t>
            </w:r>
          </w:p>
        </w:tc>
        <w:tc>
          <w:tcPr>
            <w:tcW w:type="dxa" w:w="11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AU12 mean</w:t>
            </w:r>
          </w:p>
        </w:tc>
        <w:tc>
          <w:tcPr>
            <w:tcW w:type="dxa" w:w="11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AU15 mean</w:t>
            </w:r>
          </w:p>
        </w:tc>
        <w:tc>
          <w:tcPr>
            <w:tcW w:type="dxa" w:w="11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distress</w:t>
            </w:r>
          </w:p>
        </w:tc>
        <w:tc>
          <w:tcPr>
            <w:tcW w:type="dxa" w:w="11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sonrisa</w:t>
            </w:r>
          </w:p>
        </w:tc>
        <w:tc>
          <w:tcPr>
            <w:tcW w:type="dxa" w:w="136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ICM_facial</w:t>
            </w:r>
          </w:p>
        </w:tc>
      </w:tr>
      <w:tr>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Casanare (Torres Escalante)</w:t>
            </w:r>
          </w:p>
        </w:tc>
        <w:tc>
          <w:tcPr>
            <w:tcW w:type="dxa" w:w="11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0.076</w:t>
            </w:r>
          </w:p>
        </w:tc>
        <w:tc>
          <w:tcPr>
            <w:tcW w:type="dxa" w:w="11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0.091</w:t>
            </w:r>
          </w:p>
        </w:tc>
        <w:tc>
          <w:tcPr>
            <w:tcW w:type="dxa" w:w="11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0.007</w:t>
            </w:r>
          </w:p>
        </w:tc>
        <w:tc>
          <w:tcPr>
            <w:tcW w:type="dxa" w:w="11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0.042</w:t>
            </w:r>
          </w:p>
        </w:tc>
        <w:tc>
          <w:tcPr>
            <w:tcW w:type="dxa" w:w="11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0.091</w:t>
            </w:r>
          </w:p>
        </w:tc>
        <w:tc>
          <w:tcPr>
            <w:tcW w:type="dxa" w:w="13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0.190</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Catatumbo (Chaparro)</w:t>
            </w:r>
          </w:p>
        </w:tc>
        <w:tc>
          <w:tcPr>
            <w:tcW w:type="dxa" w:w="1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0.183</w:t>
            </w:r>
          </w:p>
        </w:tc>
        <w:tc>
          <w:tcPr>
            <w:tcW w:type="dxa" w:w="1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0.131</w:t>
            </w:r>
          </w:p>
        </w:tc>
        <w:tc>
          <w:tcPr>
            <w:tcW w:type="dxa" w:w="1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0.011</w:t>
            </w:r>
          </w:p>
        </w:tc>
        <w:tc>
          <w:tcPr>
            <w:tcW w:type="dxa" w:w="1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0.097</w:t>
            </w:r>
          </w:p>
        </w:tc>
        <w:tc>
          <w:tcPr>
            <w:tcW w:type="dxa" w:w="1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0.131</w:t>
            </w:r>
          </w:p>
        </w:tc>
        <w:tc>
          <w:tcPr>
            <w:tcW w:type="dxa" w:w="1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0.272</w:t>
            </w:r>
          </w:p>
        </w:tc>
      </w:tr>
      <w:tr>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Huila (soldados)</w:t>
            </w:r>
          </w:p>
        </w:tc>
        <w:tc>
          <w:tcPr>
            <w:tcW w:type="dxa" w:w="11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0.235</w:t>
            </w:r>
          </w:p>
        </w:tc>
        <w:tc>
          <w:tcPr>
            <w:tcW w:type="dxa" w:w="11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0.085</w:t>
            </w:r>
          </w:p>
        </w:tc>
        <w:tc>
          <w:tcPr>
            <w:tcW w:type="dxa" w:w="11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0.008</w:t>
            </w:r>
          </w:p>
        </w:tc>
        <w:tc>
          <w:tcPr>
            <w:tcW w:type="dxa" w:w="11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0.122</w:t>
            </w:r>
          </w:p>
        </w:tc>
        <w:tc>
          <w:tcPr>
            <w:tcW w:type="dxa" w:w="11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0.085</w:t>
            </w:r>
          </w:p>
        </w:tc>
        <w:tc>
          <w:tcPr>
            <w:tcW w:type="dxa" w:w="13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0.299</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Dabeiba (oficial)</w:t>
            </w:r>
          </w:p>
        </w:tc>
        <w:tc>
          <w:tcPr>
            <w:tcW w:type="dxa" w:w="1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0.371</w:t>
            </w:r>
          </w:p>
        </w:tc>
        <w:tc>
          <w:tcPr>
            <w:tcW w:type="dxa" w:w="1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0.079</w:t>
            </w:r>
          </w:p>
        </w:tc>
        <w:tc>
          <w:tcPr>
            <w:tcW w:type="dxa" w:w="1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0.009</w:t>
            </w:r>
          </w:p>
        </w:tc>
        <w:tc>
          <w:tcPr>
            <w:tcW w:type="dxa" w:w="1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0.190</w:t>
            </w:r>
          </w:p>
        </w:tc>
        <w:tc>
          <w:tcPr>
            <w:tcW w:type="dxa" w:w="1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0.079</w:t>
            </w:r>
          </w:p>
        </w:tc>
        <w:tc>
          <w:tcPr>
            <w:tcW w:type="dxa" w:w="1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0.353</w:t>
            </w:r>
          </w:p>
        </w:tc>
      </w:tr>
    </w:tbl>
    <w:p>
      <w:pPr>
        <w:spacing w:after="200" w:before="80"/>
        <w:jc w:val="center"/>
      </w:pPr>
      <w:r>
        <w:rPr>
          <w:rFonts w:ascii="Arial" w:cs="Arial" w:eastAsia="Arial" w:hAnsi="Arial"/>
          <w:i/>
          <w:iCs/>
          <w:color w:val="666666"/>
          <w:sz w:val="18"/>
          <w:szCs w:val="18"/>
        </w:rPr>
        <w:t xml:space="preserve">Tabla 5.3. Cálculo del ICM facial por subcaso. Los valores AU son medias sobre todos los frames detectados.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1"/>
              <w:left w:val="single" w:color="BFBFBF" w:sz="1"/>
              <w:bottom w:val="single" w:color="BFBFBF" w:sz="1"/>
              <w:right w:val="single" w:color="BFBFBF" w:sz="1"/>
            </w:tcBorders>
            <w:shd w:fill="FCE4D6" w:val="clear"/>
            <w:tcMar>
              <w:top w:type="dxa" w:w="100"/>
              <w:left w:type="dxa" w:w="160"/>
              <w:bottom w:type="dxa" w:w="100"/>
              <w:right w:type="dxa" w:w="160"/>
            </w:tcMar>
          </w:tcPr>
          <w:p>
            <w:r>
              <w:rPr>
                <w:rFonts w:ascii="Arial" w:cs="Arial" w:eastAsia="Arial" w:hAnsi="Arial"/>
                <w:i/>
                <w:iCs/>
                <w:sz w:val="20"/>
                <w:szCs w:val="20"/>
              </w:rPr>
              <w:t xml:space="preserve">Advertencia epistemológica obligatoria (Barrett et al., 2019): el ICM facial NO mide sinceridad individual. Las expresiones faciales son actos comunicativos contextuales (Crivelli &amp; Fridlund, 2018), no lecturas directas de estados emocionales. La baja coherencia emoción-expresión ha sido confirmada incluso en situaciones de emoción genuina (Reisenzein et al., 2013). El ICM mide patrones de congruencia entre canales comunicativos a nivel de corpus. Adicionalmente, MediaPipe no ha sido auditado sobre rostros mestizos o afrocolombianos (Buolamwini &amp; Gebru, 2018) — los resultados faciales requieren auditoría intersectional futura.</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2"/>
          <w:szCs w:val="32"/>
        </w:rPr>
        <w:t xml:space="preserve">6. Construcción del DIS Score (η₁)</w:t>
      </w:r>
    </w:p>
    <w:p>
      <w:pPr>
        <w:pStyle w:val="Heading2"/>
        <w:spacing w:after="140" w:before="300"/>
      </w:pPr>
      <w:r>
        <w:rPr>
          <w:rFonts w:ascii="Arial" w:cs="Arial" w:eastAsia="Arial" w:hAnsi="Arial"/>
          <w:b/>
          <w:bCs/>
          <w:color w:val="2E75B6"/>
          <w:sz w:val="26"/>
          <w:szCs w:val="26"/>
        </w:rPr>
        <w:t xml:space="preserve">6.1 Definición formal</w:t>
      </w:r>
    </w:p>
    <w:p>
      <w:pPr>
        <w:spacing w:after="80" w:before="80"/>
        <w:jc w:val="both"/>
      </w:pPr>
      <w:r>
        <w:rPr>
          <w:rFonts w:ascii="Arial" w:cs="Arial" w:eastAsia="Arial" w:hAnsi="Arial"/>
          <w:b w:val="false"/>
          <w:bCs w:val="false"/>
          <w:i w:val="false"/>
          <w:iCs w:val="false"/>
          <w:color w:val="000000"/>
          <w:sz w:val="22"/>
          <w:szCs w:val="22"/>
        </w:rPr>
        <w:t xml:space="preserve">El Discursive Injustice Score (DIS Score) es un índice compuesto que cuantifica la magnitud de la injusticia discursiva en un bloque textual judicial. Opera como variable latente endógena η₁ en el modelo SEM del framework CFH. Sus componentes miden: gramática de la responsabilidad (y₂ SA), categorización de las víctimas (y₄ NV) y presencia de lenguaje reparatorio (y₁₀ REP).</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6.2 Normalización de componentes</w:t>
      </w:r>
    </w:p>
    <w:p>
      <w:pPr>
        <w:spacing w:after="80" w:before="80"/>
        <w:jc w:val="both"/>
      </w:pPr>
      <w:r>
        <w:rPr>
          <w:rFonts w:ascii="Arial" w:cs="Arial" w:eastAsia="Arial" w:hAnsi="Arial"/>
          <w:b w:val="false"/>
          <w:bCs w:val="false"/>
          <w:i w:val="false"/>
          <w:iCs w:val="false"/>
          <w:color w:val="000000"/>
          <w:sz w:val="22"/>
          <w:szCs w:val="22"/>
        </w:rPr>
        <w:t xml:space="preserve">Antes de combinar los indicadores, cada uno se normaliza al rango [0,1] con la transformación min-max sobre el corpus completo (A+B+C, N=4.085 bloques):</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y_norm(b)  =  (y(b)  −  min_{b'}(y(b'))) / (max_{b'}(y(b'))  −  min_{b'}(y(b')))</w:t>
      </w:r>
      <w:r>
        <w:rPr>
          <w:rFonts w:ascii="Arial" w:cs="Arial" w:eastAsia="Arial" w:hAnsi="Arial"/>
          <w:color w:val="888888"/>
          <w:sz w:val="20"/>
          <w:szCs w:val="20"/>
        </w:rPr>
        <w:t xml:space="preserve">   (6.34)</w:t>
      </w:r>
    </w:p>
    <w:p>
      <w:pPr>
        <w:spacing w:after="80" w:before="80"/>
        <w:jc w:val="both"/>
      </w:pPr>
      <w:r>
        <w:rPr>
          <w:rFonts w:ascii="Arial" w:cs="Arial" w:eastAsia="Arial" w:hAnsi="Arial"/>
          <w:b w:val="false"/>
          <w:bCs w:val="false"/>
          <w:i w:val="false"/>
          <w:iCs w:val="false"/>
          <w:color w:val="000000"/>
          <w:sz w:val="22"/>
          <w:szCs w:val="22"/>
        </w:rPr>
        <w:t xml:space="preserve">Esta normalización garantiza que cada componente contribuye al índice en la misma escala, independientemente de las distribuciones originales de los indicadores.</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6.3 Fórmula del DIS Score</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DIS(b)  =  0.35 · y₂_norm(b)  +  0.35 · y₄_norm(b)  +  0.30 · (1 − y₁₀_norm(b))</w:t>
      </w:r>
      <w:r>
        <w:rPr>
          <w:rFonts w:ascii="Arial" w:cs="Arial" w:eastAsia="Arial" w:hAnsi="Arial"/>
          <w:color w:val="888888"/>
          <w:sz w:val="20"/>
          <w:szCs w:val="20"/>
        </w:rPr>
        <w:t xml:space="preserve">   (6.35)</w:t>
      </w:r>
    </w:p>
    <w:p>
      <w:pPr>
        <w:spacing w:after="80" w:before="80"/>
        <w:jc w:val="both"/>
      </w:pPr>
      <w:r>
        <w:rPr>
          <w:rFonts w:ascii="Arial" w:cs="Arial" w:eastAsia="Arial" w:hAnsi="Arial"/>
          <w:b w:val="false"/>
          <w:bCs w:val="false"/>
          <w:i w:val="false"/>
          <w:iCs w:val="false"/>
          <w:color w:val="000000"/>
          <w:sz w:val="22"/>
          <w:szCs w:val="22"/>
        </w:rPr>
        <w:t xml:space="preserve">Los pesos {0.35, 0.35, 0.30} se determinaron por:</w:t>
      </w:r>
    </w:p>
    <w:p>
      <w:pPr>
        <w:pStyle w:val="ListParagraph"/>
        <w:numPr>
          <w:ilvl w:val="0"/>
          <w:numId w:val="3"/>
        </w:numPr>
        <w:spacing w:after="50" w:before="50"/>
      </w:pPr>
      <w:r>
        <w:rPr>
          <w:rFonts w:ascii="Arial" w:cs="Arial" w:eastAsia="Arial" w:hAnsi="Arial"/>
          <w:b w:val="false"/>
          <w:bCs w:val="false"/>
          <w:i w:val="false"/>
          <w:iCs w:val="false"/>
          <w:color w:val="000000"/>
          <w:sz w:val="22"/>
          <w:szCs w:val="22"/>
        </w:rPr>
        <w:t xml:space="preserve">Igualdad entre SA y NV (0.35 cada uno): </w:t>
      </w:r>
      <w:r>
        <w:rPr>
          <w:rFonts w:ascii="Arial" w:cs="Arial" w:eastAsia="Arial" w:hAnsi="Arial"/>
          <w:b w:val="false"/>
          <w:bCs w:val="false"/>
          <w:i/>
          <w:iCs/>
          <w:color w:val="000000"/>
          <w:sz w:val="22"/>
          <w:szCs w:val="22"/>
        </w:rPr>
        <w:t xml:space="preserve">ambos son mecanismos primarios de violencia discursiva — uno gramatical (SA oculta al perpetrador), otro semántico-categorial (NV niega la identidad de víctima). No hay razón teórica para privilegiar uno sobre el otro.</w:t>
      </w:r>
    </w:p>
    <w:p>
      <w:pPr>
        <w:pStyle w:val="ListParagraph"/>
        <w:numPr>
          <w:ilvl w:val="0"/>
          <w:numId w:val="3"/>
        </w:numPr>
        <w:spacing w:after="50" w:before="50"/>
      </w:pPr>
      <w:r>
        <w:rPr>
          <w:rFonts w:ascii="Arial" w:cs="Arial" w:eastAsia="Arial" w:hAnsi="Arial"/>
          <w:b w:val="false"/>
          <w:bCs w:val="false"/>
          <w:i w:val="false"/>
          <w:iCs w:val="false"/>
          <w:color w:val="000000"/>
          <w:sz w:val="22"/>
          <w:szCs w:val="22"/>
        </w:rPr>
        <w:t xml:space="preserve">Peso menor para ausencia de REP (0.30): </w:t>
      </w:r>
      <w:r>
        <w:rPr>
          <w:rFonts w:ascii="Arial" w:cs="Arial" w:eastAsia="Arial" w:hAnsi="Arial"/>
          <w:b w:val="false"/>
          <w:bCs w:val="false"/>
          <w:i/>
          <w:iCs/>
          <w:color w:val="000000"/>
          <w:sz w:val="22"/>
          <w:szCs w:val="22"/>
        </w:rPr>
        <w:t xml:space="preserve">la REP mide el polo opuesto (reparación), no directamente un mecanismo de violencia. Contribuye menos al índice de injusticia.</w:t>
      </w:r>
    </w:p>
    <w:p>
      <w:pPr>
        <w:spacing w:after="80" w:before="80"/>
        <w:jc w:val="both"/>
      </w:pPr>
      <w:r>
        <w:rPr>
          <w:rFonts w:ascii="Arial" w:cs="Arial" w:eastAsia="Arial" w:hAnsi="Arial"/>
          <w:b w:val="false"/>
          <w:bCs w:val="false"/>
          <w:i w:val="false"/>
          <w:iCs w:val="false"/>
          <w:color w:val="000000"/>
          <w:sz w:val="22"/>
          <w:szCs w:val="22"/>
        </w:rPr>
        <w:t xml:space="preserve">La dirección de REP en el índice es (1 − REP_norm) porque REP alto indica MENOR injusticia — es el polo reparatorio del continuo discursivo.</w:t>
      </w:r>
    </w:p>
    <w:p>
      <w:pPr>
        <w:spacing w:after="80" w:before="80"/>
        <w:jc w:val="both"/>
      </w:pPr>
      <w:r>
        <w:rPr>
          <w:rFonts w:ascii="Arial" w:cs="Arial" w:eastAsia="Arial" w:hAnsi="Arial"/>
          <w:b w:val="false"/>
          <w:bCs w:val="false"/>
          <w:i w:val="false"/>
          <w:iCs w:val="false"/>
          <w:color w:val="000000"/>
          <w:sz w:val="22"/>
          <w:szCs w:val="22"/>
        </w:rPr>
        <w:t xml:space="preserve">Interpretación de la escala del DIS Score: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Rango DIS</w:t>
            </w:r>
          </w:p>
        </w:tc>
        <w:tc>
          <w:tcPr>
            <w:tcW w:type="dxa" w:w="44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Interpretación</w:t>
            </w:r>
          </w:p>
        </w:tc>
        <w:tc>
          <w:tcPr>
            <w:tcW w:type="dxa" w:w="28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Ejemplo en corpus</w:t>
            </w:r>
          </w:p>
        </w:tc>
      </w:tr>
      <w:tr>
        <w:tc>
          <w:tcPr>
            <w:tcW w:type="dxa" w:w="1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[0.0 – 0.2]</w:t>
            </w:r>
          </w:p>
        </w:tc>
        <w:tc>
          <w:tcPr>
            <w:tcW w:type="dxa" w:w="4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Baja injusticia discursiva. Lenguaje directo, baja NV, alta REP.</w:t>
            </w:r>
          </w:p>
        </w:tc>
        <w:tc>
          <w:tcPr>
            <w:tcW w:type="dxa" w:w="2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Catatumbo DIS=0.110 — el más bajo del corpus C</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(0.2 – 0.4]</w:t>
            </w:r>
          </w:p>
        </w:tc>
        <w:tc>
          <w:tcPr>
            <w:tcW w:type="dxa" w:w="4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Injusticia moderada-baja.</w:t>
            </w:r>
          </w:p>
        </w:tc>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Huila DIS=0.228</w:t>
            </w:r>
          </w:p>
        </w:tc>
      </w:tr>
      <w:tr>
        <w:tc>
          <w:tcPr>
            <w:tcW w:type="dxa" w:w="1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(0.4 – 0.6]</w:t>
            </w:r>
          </w:p>
        </w:tc>
        <w:tc>
          <w:tcPr>
            <w:tcW w:type="dxa" w:w="4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Injusticia moderada.</w:t>
            </w:r>
          </w:p>
        </w:tc>
        <w:tc>
          <w:tcPr>
            <w:tcW w:type="dxa" w:w="2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Dabeiba DIS=0.490, Costa Caribe DIS=0.464</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(0.6 – 0.8]</w:t>
            </w:r>
          </w:p>
        </w:tc>
        <w:tc>
          <w:tcPr>
            <w:tcW w:type="dxa" w:w="4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Injusticia alta.</w:t>
            </w:r>
          </w:p>
        </w:tc>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r>
      <w:tr>
        <w:tc>
          <w:tcPr>
            <w:tcW w:type="dxa" w:w="1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(0.8 – 1.0]</w:t>
            </w:r>
          </w:p>
        </w:tc>
        <w:tc>
          <w:tcPr>
            <w:tcW w:type="dxa" w:w="4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Injusticia máxima. Alta SA, alta NV, ausencia total de REP.</w:t>
            </w:r>
          </w:p>
        </w:tc>
        <w:tc>
          <w:tcPr>
            <w:tcW w:type="dxa" w:w="2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Casanare DIS=0.808 — el más alto del corpus C</w:t>
            </w:r>
          </w:p>
        </w:tc>
      </w:tr>
    </w:tbl>
    <w:p>
      <w:pPr>
        <w:spacing w:after="200" w:before="80"/>
        <w:jc w:val="center"/>
      </w:pPr>
      <w:r>
        <w:rPr>
          <w:rFonts w:ascii="Arial" w:cs="Arial" w:eastAsia="Arial" w:hAnsi="Arial"/>
          <w:i/>
          <w:iCs/>
          <w:color w:val="666666"/>
          <w:sz w:val="18"/>
          <w:szCs w:val="18"/>
        </w:rPr>
        <w:t xml:space="preserve">Tabla 6.1. Escala de interpretación del DIS Score.</w:t>
      </w:r>
    </w:p>
    <w:p>
      <w:pPr>
        <w:spacing w:after="60" w:before="60"/>
      </w:pPr>
      <w:r>
        <w:t xml:space="preserve"/>
      </w:r>
    </w:p>
    <w:p>
      <w:pPr>
        <w:pStyle w:val="Heading1"/>
        <w:spacing w:after="200" w:before="400"/>
      </w:pPr>
      <w:r>
        <w:rPr>
          <w:rFonts w:ascii="Arial" w:cs="Arial" w:eastAsia="Arial" w:hAnsi="Arial"/>
          <w:b/>
          <w:bCs/>
          <w:color w:val="1F4E79"/>
          <w:sz w:val="32"/>
          <w:szCs w:val="32"/>
        </w:rPr>
        <w:t xml:space="preserve">7. Construcción del IEI — Índice de Injusticia Epistémica (η₂)</w:t>
      </w:r>
    </w:p>
    <w:p>
      <w:pPr>
        <w:pStyle w:val="Heading2"/>
        <w:spacing w:after="140" w:before="300"/>
      </w:pPr>
      <w:r>
        <w:rPr>
          <w:rFonts w:ascii="Arial" w:cs="Arial" w:eastAsia="Arial" w:hAnsi="Arial"/>
          <w:b/>
          <w:bCs/>
          <w:color w:val="2E75B6"/>
          <w:sz w:val="26"/>
          <w:szCs w:val="26"/>
        </w:rPr>
        <w:t xml:space="preserve">7.1 Fundamento conceptual: Fricker (2007)</w:t>
      </w:r>
    </w:p>
    <w:p>
      <w:pPr>
        <w:spacing w:after="80" w:before="80"/>
        <w:jc w:val="both"/>
      </w:pPr>
      <w:r>
        <w:rPr>
          <w:rFonts w:ascii="Arial" w:cs="Arial" w:eastAsia="Arial" w:hAnsi="Arial"/>
          <w:b w:val="false"/>
          <w:bCs w:val="false"/>
          <w:i w:val="false"/>
          <w:iCs w:val="false"/>
          <w:color w:val="000000"/>
          <w:sz w:val="22"/>
          <w:szCs w:val="22"/>
        </w:rPr>
        <w:t xml:space="preserve">El IEI operacionaliza el marco de Miranda Fricker (2007) sobre la injusticia epistémica. Fricker distingue dos formas:</w:t>
      </w:r>
    </w:p>
    <w:p>
      <w:pPr>
        <w:pStyle w:val="ListParagraph"/>
        <w:numPr>
          <w:ilvl w:val="0"/>
          <w:numId w:val="3"/>
        </w:numPr>
        <w:spacing w:after="50" w:before="50"/>
      </w:pPr>
      <w:r>
        <w:rPr>
          <w:rFonts w:ascii="Arial" w:cs="Arial" w:eastAsia="Arial" w:hAnsi="Arial"/>
          <w:b w:val="false"/>
          <w:bCs w:val="false"/>
          <w:i w:val="false"/>
          <w:iCs w:val="false"/>
          <w:color w:val="000000"/>
          <w:sz w:val="22"/>
          <w:szCs w:val="22"/>
        </w:rPr>
        <w:t xml:space="preserve">Injusticia testimonial: </w:t>
      </w:r>
      <w:r>
        <w:rPr>
          <w:rFonts w:ascii="Arial" w:cs="Arial" w:eastAsia="Arial" w:hAnsi="Arial"/>
          <w:b w:val="false"/>
          <w:bCs w:val="false"/>
          <w:i/>
          <w:iCs/>
          <w:color w:val="000000"/>
          <w:sz w:val="22"/>
          <w:szCs w:val="22"/>
        </w:rPr>
        <w:t xml:space="preserve">atribución de menor credibilidad al testimonio de alguien por su identidad social. Operacionalizada en el IEI por y₄ NV — la categorización como combatiente incorpora el credibility discount directamente en la gramática del relato judicial.</w:t>
      </w:r>
    </w:p>
    <w:p>
      <w:pPr>
        <w:pStyle w:val="ListParagraph"/>
        <w:numPr>
          <w:ilvl w:val="0"/>
          <w:numId w:val="3"/>
        </w:numPr>
        <w:spacing w:after="50" w:before="50"/>
      </w:pPr>
      <w:r>
        <w:rPr>
          <w:rFonts w:ascii="Arial" w:cs="Arial" w:eastAsia="Arial" w:hAnsi="Arial"/>
          <w:b w:val="false"/>
          <w:bCs w:val="false"/>
          <w:i w:val="false"/>
          <w:iCs w:val="false"/>
          <w:color w:val="000000"/>
          <w:sz w:val="22"/>
          <w:szCs w:val="22"/>
        </w:rPr>
        <w:t xml:space="preserve">Injusticia hermenéutica: </w:t>
      </w:r>
      <w:r>
        <w:rPr>
          <w:rFonts w:ascii="Arial" w:cs="Arial" w:eastAsia="Arial" w:hAnsi="Arial"/>
          <w:b w:val="false"/>
          <w:bCs w:val="false"/>
          <w:i/>
          <w:iCs/>
          <w:color w:val="000000"/>
          <w:sz w:val="22"/>
          <w:szCs w:val="22"/>
        </w:rPr>
        <w:t xml:space="preserve">ausencia de recursos conceptuales para hacer inteligible la propia experiencia. Operacionalizada por y₈ (distancia MAFAPO) — cuánto de lejos está el texto del vocabulario que las víctimas construyeron para nombrar su experiencia.</w:t>
      </w:r>
    </w:p>
    <w:p>
      <w:pPr>
        <w:spacing w:after="80" w:before="80"/>
        <w:jc w:val="both"/>
      </w:pPr>
      <w:r>
        <w:rPr>
          <w:rFonts w:ascii="Arial" w:cs="Arial" w:eastAsia="Arial" w:hAnsi="Arial"/>
          <w:b w:val="false"/>
          <w:bCs w:val="false"/>
          <w:i w:val="false"/>
          <w:iCs w:val="false"/>
          <w:color w:val="000000"/>
          <w:sz w:val="22"/>
          <w:szCs w:val="22"/>
        </w:rPr>
        <w:t xml:space="preserve">El IEI es independiente del DIS Score — puede ser alto con DIS bajo (caso Catatumbo) o ambos altos (caso Casanare), lo que constituye el hallazgo más original del análisis integrado.</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7.2 Fórmula del IEI</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IEI(b)  =  0.35 · y₈_norm(b)  +  0.20 · y₉_norm(b)  +  0.25 · y₄_norm(b)  +  0.20 · (1 − y₁₀_norm(b))</w:t>
      </w:r>
      <w:r>
        <w:rPr>
          <w:rFonts w:ascii="Arial" w:cs="Arial" w:eastAsia="Arial" w:hAnsi="Arial"/>
          <w:color w:val="888888"/>
          <w:sz w:val="20"/>
          <w:szCs w:val="20"/>
        </w:rPr>
        <w:t xml:space="preserve">   (7.36)</w:t>
      </w:r>
    </w:p>
    <w:p>
      <w:pPr>
        <w:spacing w:after="80" w:before="80"/>
        <w:jc w:val="both"/>
      </w:pPr>
      <w:r>
        <w:rPr>
          <w:rFonts w:ascii="Arial" w:cs="Arial" w:eastAsia="Arial" w:hAnsi="Arial"/>
          <w:b w:val="false"/>
          <w:bCs w:val="false"/>
          <w:i w:val="false"/>
          <w:iCs w:val="false"/>
          <w:color w:val="000000"/>
          <w:sz w:val="22"/>
          <w:szCs w:val="22"/>
        </w:rPr>
        <w:t xml:space="preserve">Justificación de los pesos: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Componente</w:t>
            </w:r>
          </w:p>
        </w:tc>
        <w:tc>
          <w:tcPr>
            <w:tcW w:type="dxa" w:w="8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Peso</w:t>
            </w:r>
          </w:p>
        </w:tc>
        <w:tc>
          <w:tcPr>
            <w:tcW w:type="dxa" w:w="26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Dimensión Fricker</w:t>
            </w:r>
          </w:p>
        </w:tc>
        <w:tc>
          <w:tcPr>
            <w:tcW w:type="dxa" w:w="34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Justificación del peso</w:t>
            </w:r>
          </w:p>
        </w:tc>
      </w:tr>
      <w:tr>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y₈ Dist. MAFAPO</w:t>
            </w:r>
          </w:p>
        </w:tc>
        <w:tc>
          <w:tcPr>
            <w:tcW w:type="dxa" w:w="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0.35</w:t>
            </w:r>
          </w:p>
        </w:tc>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Injusticia hermenéutica — hermeneutical gap</w:t>
            </w:r>
          </w:p>
        </w:tc>
        <w:tc>
          <w:tcPr>
            <w:tcW w:type="dxa" w:w="3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Indicador primario: mide directamente qué tan lejos está el texto del vocabulario de las víctimas</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y₉ Dist. CIDH</w:t>
            </w:r>
          </w:p>
        </w:tc>
        <w:tc>
          <w:tcPr>
            <w:tcW w:type="dxa" w:w="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0.20</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Injusticia hermenéutica — estándar normativo</w:t>
            </w:r>
          </w:p>
        </w:tc>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Peso menor: la CIDH representa el polo del derecho internacional, no el polo de las víctimas</w:t>
            </w:r>
          </w:p>
        </w:tc>
      </w:tr>
      <w:tr>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y₄ NV Score</w:t>
            </w:r>
          </w:p>
        </w:tc>
        <w:tc>
          <w:tcPr>
            <w:tcW w:type="dxa" w:w="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0.25</w:t>
            </w:r>
          </w:p>
        </w:tc>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Injusticia testimonial — credibility deficit</w:t>
            </w:r>
          </w:p>
        </w:tc>
        <w:tc>
          <w:tcPr>
            <w:tcW w:type="dxa" w:w="3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La negación de victimización incorpora el descuento de credibilidad en el relato</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1−y₁₀ REP</w:t>
            </w:r>
          </w:p>
        </w:tc>
        <w:tc>
          <w:tcPr>
            <w:tcW w:type="dxa" w:w="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0.20</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Ausencia de expansión hermenéutica</w:t>
            </w:r>
          </w:p>
        </w:tc>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La ausencia de lenguaje reparatorio indica que el hermeneutical gap no se está corrigiendo</w:t>
            </w:r>
          </w:p>
        </w:tc>
      </w:tr>
    </w:tbl>
    <w:p>
      <w:pPr>
        <w:spacing w:after="200" w:before="80"/>
        <w:jc w:val="center"/>
      </w:pPr>
      <w:r>
        <w:rPr>
          <w:rFonts w:ascii="Arial" w:cs="Arial" w:eastAsia="Arial" w:hAnsi="Arial"/>
          <w:i/>
          <w:iCs/>
          <w:color w:val="666666"/>
          <w:sz w:val="18"/>
          <w:szCs w:val="18"/>
        </w:rPr>
        <w:t xml:space="preserve">Tabla 7.1. Componentes y pesos del IEI con fundamentación en Fricker (2007).</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7.3 La disociación DIS-IEI: caso paradigmático Catatumbo</w:t>
      </w:r>
    </w:p>
    <w:p>
      <w:pPr>
        <w:spacing w:after="80" w:before="80"/>
        <w:jc w:val="both"/>
      </w:pPr>
      <w:r>
        <w:rPr>
          <w:rFonts w:ascii="Arial" w:cs="Arial" w:eastAsia="Arial" w:hAnsi="Arial"/>
          <w:b w:val="false"/>
          <w:bCs w:val="false"/>
          <w:i w:val="false"/>
          <w:iCs w:val="false"/>
          <w:color w:val="000000"/>
          <w:sz w:val="22"/>
          <w:szCs w:val="22"/>
        </w:rPr>
        <w:t xml:space="preserve">El hallazgo más original del análisis es que DIS e IEI pueden disociarse — corrección de la injusticia discursiva gramatical no garantiza corrección de la injusticia epistémica.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8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Subcaso</w:t>
            </w:r>
          </w:p>
        </w:tc>
        <w:tc>
          <w:tcPr>
            <w:tcW w:type="dxa" w:w="9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DIS</w:t>
            </w:r>
          </w:p>
        </w:tc>
        <w:tc>
          <w:tcPr>
            <w:tcW w:type="dxa" w:w="9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IEI</w:t>
            </w:r>
          </w:p>
        </w:tc>
        <w:tc>
          <w:tcPr>
            <w:tcW w:type="dxa" w:w="10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Δ |DIS−IEI|</w:t>
            </w:r>
          </w:p>
        </w:tc>
        <w:tc>
          <w:tcPr>
            <w:tcW w:type="dxa" w:w="10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Dirección</w:t>
            </w:r>
          </w:p>
        </w:tc>
        <w:tc>
          <w:tcPr>
            <w:tcW w:type="dxa" w:w="34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Interpretación Fricker</w:t>
            </w:r>
          </w:p>
        </w:tc>
      </w:tr>
      <w:tr>
        <w:tc>
          <w:tcPr>
            <w:tcW w:type="dxa" w:w="1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Casanare</w:t>
            </w:r>
          </w:p>
        </w:tc>
        <w:tc>
          <w:tcPr>
            <w:tcW w:type="dxa" w:w="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0.808</w:t>
            </w:r>
          </w:p>
        </w:tc>
        <w:tc>
          <w:tcPr>
            <w:tcW w:type="dxa" w:w="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0.517</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0.291</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DIS&gt;IEI</w:t>
            </w:r>
          </w:p>
        </w:tc>
        <w:tc>
          <w:tcPr>
            <w:tcW w:type="dxa" w:w="3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Injusticia alta en ambas dimensiones — patrón coherente negativo</w:t>
            </w:r>
          </w:p>
        </w:tc>
      </w:tr>
      <w:tr>
        <w:tc>
          <w:tcPr>
            <w:tcW w:type="dxa" w:w="1800"/>
            <w:tcBorders>
              <w:top w:val="single" w:color="BFBFBF" w:sz="1"/>
              <w:left w:val="single" w:color="BFBFBF" w:sz="1"/>
              <w:bottom w:val="single" w:color="BFBFBF" w:sz="1"/>
              <w:right w:val="single" w:color="BFBFBF" w:sz="1"/>
            </w:tcBorders>
            <w:shd w:fill="FCE4D6"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Catatumbo ★</w:t>
            </w:r>
          </w:p>
        </w:tc>
        <w:tc>
          <w:tcPr>
            <w:tcW w:type="dxa" w:w="900"/>
            <w:tcBorders>
              <w:top w:val="single" w:color="BFBFBF" w:sz="1"/>
              <w:left w:val="single" w:color="BFBFBF" w:sz="1"/>
              <w:bottom w:val="single" w:color="BFBFBF" w:sz="1"/>
              <w:right w:val="single" w:color="BFBFBF" w:sz="1"/>
            </w:tcBorders>
            <w:shd w:fill="FCE4D6"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0.110</w:t>
            </w:r>
          </w:p>
        </w:tc>
        <w:tc>
          <w:tcPr>
            <w:tcW w:type="dxa" w:w="900"/>
            <w:tcBorders>
              <w:top w:val="single" w:color="BFBFBF" w:sz="1"/>
              <w:left w:val="single" w:color="BFBFBF" w:sz="1"/>
              <w:bottom w:val="single" w:color="BFBFBF" w:sz="1"/>
              <w:right w:val="single" w:color="BFBFBF" w:sz="1"/>
            </w:tcBorders>
            <w:shd w:fill="FCE4D6"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0.624</w:t>
            </w:r>
          </w:p>
        </w:tc>
        <w:tc>
          <w:tcPr>
            <w:tcW w:type="dxa" w:w="1000"/>
            <w:tcBorders>
              <w:top w:val="single" w:color="BFBFBF" w:sz="1"/>
              <w:left w:val="single" w:color="BFBFBF" w:sz="1"/>
              <w:bottom w:val="single" w:color="BFBFBF" w:sz="1"/>
              <w:right w:val="single" w:color="BFBFBF" w:sz="1"/>
            </w:tcBorders>
            <w:shd w:fill="FCE4D6"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0.514</w:t>
            </w:r>
          </w:p>
        </w:tc>
        <w:tc>
          <w:tcPr>
            <w:tcW w:type="dxa" w:w="1000"/>
            <w:tcBorders>
              <w:top w:val="single" w:color="BFBFBF" w:sz="1"/>
              <w:left w:val="single" w:color="BFBFBF" w:sz="1"/>
              <w:bottom w:val="single" w:color="BFBFBF" w:sz="1"/>
              <w:right w:val="single" w:color="BFBFBF" w:sz="1"/>
            </w:tcBorders>
            <w:shd w:fill="FCE4D6"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IEI&gt;&gt;DIS</w:t>
            </w:r>
          </w:p>
        </w:tc>
        <w:tc>
          <w:tcPr>
            <w:tcW w:type="dxa" w:w="3400"/>
            <w:tcBorders>
              <w:top w:val="single" w:color="BFBFBF" w:sz="1"/>
              <w:left w:val="single" w:color="BFBFBF" w:sz="1"/>
              <w:bottom w:val="single" w:color="BFBFBF" w:sz="1"/>
              <w:right w:val="single" w:color="BFBFBF" w:sz="1"/>
            </w:tcBorders>
            <w:shd w:fill="FCE4D6"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Corrige injusticia testimonial, mantiene injusticia hermenéutica — DISOCIACIÓN MÁXIMA</w:t>
            </w:r>
          </w:p>
        </w:tc>
      </w:tr>
      <w:tr>
        <w:tc>
          <w:tcPr>
            <w:tcW w:type="dxa" w:w="1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Dabeiba</w:t>
            </w:r>
          </w:p>
        </w:tc>
        <w:tc>
          <w:tcPr>
            <w:tcW w:type="dxa" w:w="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0.490</w:t>
            </w:r>
          </w:p>
        </w:tc>
        <w:tc>
          <w:tcPr>
            <w:tcW w:type="dxa" w:w="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0.299</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0.190</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DIS&gt;IEI</w:t>
            </w:r>
          </w:p>
        </w:tc>
        <w:tc>
          <w:tcPr>
            <w:tcW w:type="dxa" w:w="3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Hermenéutica mejor que discursiva — la materialidad reduce el gap hermenéutico</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Huila</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0.228</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0.081</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0.147</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DIS&gt;IEI</w:t>
            </w:r>
          </w:p>
        </w:tc>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Mejor perfil bi-índice — corrige ambas dimensiones</w:t>
            </w:r>
          </w:p>
        </w:tc>
      </w:tr>
      <w:tr>
        <w:tc>
          <w:tcPr>
            <w:tcW w:type="dxa" w:w="1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Costa Caribe</w:t>
            </w:r>
          </w:p>
        </w:tc>
        <w:tc>
          <w:tcPr>
            <w:tcW w:type="dxa" w:w="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0.464</w:t>
            </w:r>
          </w:p>
        </w:tc>
        <w:tc>
          <w:tcPr>
            <w:tcW w:type="dxa" w:w="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0.231</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0.233</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DIS&gt;IEI</w:t>
            </w:r>
          </w:p>
        </w:tc>
        <w:tc>
          <w:tcPr>
            <w:tcW w:type="dxa" w:w="3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Moderado en ambas (sin ICM)</w:t>
            </w:r>
          </w:p>
        </w:tc>
      </w:tr>
    </w:tbl>
    <w:p>
      <w:pPr>
        <w:spacing w:after="200" w:before="80"/>
        <w:jc w:val="center"/>
      </w:pPr>
      <w:r>
        <w:rPr>
          <w:rFonts w:ascii="Arial" w:cs="Arial" w:eastAsia="Arial" w:hAnsi="Arial"/>
          <w:i/>
          <w:iCs/>
          <w:color w:val="666666"/>
          <w:sz w:val="18"/>
          <w:szCs w:val="18"/>
        </w:rPr>
        <w:t xml:space="preserve">Tabla 7.2. Disociación DIS vs IEI por subcaso Corpus C. ★ Caso paradigmático.</w:t>
      </w:r>
    </w:p>
    <w:p>
      <w:pPr>
        <w:spacing w:after="60" w:before="60"/>
      </w:pPr>
      <w:r>
        <w:t xml:space="preserve"/>
      </w:r>
    </w:p>
    <w:p>
      <w:pPr>
        <w:spacing w:after="80" w:before="80"/>
        <w:jc w:val="both"/>
      </w:pPr>
      <w:r>
        <w:rPr>
          <w:rFonts w:ascii="Arial" w:cs="Arial" w:eastAsia="Arial" w:hAnsi="Arial"/>
          <w:b w:val="false"/>
          <w:bCs w:val="false"/>
          <w:i w:val="false"/>
          <w:iCs w:val="false"/>
          <w:color w:val="000000"/>
          <w:sz w:val="22"/>
          <w:szCs w:val="22"/>
        </w:rPr>
        <w:t xml:space="preserve">Interpretación del caso Catatumbo: </w:t>
      </w:r>
      <w:r>
        <w:rPr>
          <w:rFonts w:ascii="Arial" w:cs="Arial" w:eastAsia="Arial" w:hAnsi="Arial"/>
          <w:b w:val="false"/>
          <w:bCs w:val="false"/>
          <w:i/>
          <w:iCs/>
          <w:color w:val="000000"/>
          <w:sz w:val="22"/>
          <w:szCs w:val="22"/>
        </w:rPr>
        <w:t xml:space="preserve">el Capitán Chaparro tiene DIS=0.110 porque su discurso es gramaticalmente directo (baja SA=0.532, baja NV=0.220) y linguisticamente responsable. Sin embargo, IEI=0.624 porque su embedding semántico profundo (y₈=0.207, el más alto del corpus C) está alejado del centroide MAFAPO. En términos de Fricker: corrige la injusticia </w:t>
      </w:r>
      <w:r>
        <w:rPr>
          <w:rFonts w:ascii="Arial" w:cs="Arial" w:eastAsia="Arial" w:hAnsi="Arial"/>
          <w:b/>
          <w:bCs/>
          <w:i/>
          <w:iCs/>
          <w:color w:val="000000"/>
          <w:sz w:val="22"/>
          <w:szCs w:val="22"/>
        </w:rPr>
        <w:t xml:space="preserve">testimonial</w:t>
      </w:r>
      <w:r>
        <w:rPr>
          <w:rFonts w:ascii="Arial" w:cs="Arial" w:eastAsia="Arial" w:hAnsi="Arial"/>
          <w:b w:val="false"/>
          <w:bCs w:val="false"/>
          <w:i/>
          <w:iCs/>
          <w:color w:val="000000"/>
          <w:sz w:val="22"/>
          <w:szCs w:val="22"/>
        </w:rPr>
        <w:t xml:space="preserve"> (cede autoridad gramatical, habla en primera persona activa) pero mantiene la injusticia </w:t>
      </w:r>
      <w:r>
        <w:rPr>
          <w:rFonts w:ascii="Arial" w:cs="Arial" w:eastAsia="Arial" w:hAnsi="Arial"/>
          <w:b/>
          <w:bCs/>
          <w:i/>
          <w:iCs/>
          <w:color w:val="000000"/>
          <w:sz w:val="22"/>
          <w:szCs w:val="22"/>
        </w:rPr>
        <w:t xml:space="preserve">hermenéutica</w:t>
      </w:r>
      <w:r>
        <w:rPr>
          <w:rFonts w:ascii="Arial" w:cs="Arial" w:eastAsia="Arial" w:hAnsi="Arial"/>
          <w:b w:val="false"/>
          <w:bCs w:val="false"/>
          <w:i/>
          <w:iCs/>
          <w:color w:val="000000"/>
          <w:sz w:val="22"/>
          <w:szCs w:val="22"/>
        </w:rPr>
        <w:t xml:space="preserve"> (su léxico no adopta los recursos hermenéuticos que las víctimas construyeron para nombrar su experiencia).</w:t>
      </w:r>
    </w:p>
    <w:p>
      <w:pPr>
        <w:spacing w:after="60" w:before="60"/>
      </w:pPr>
      <w:r>
        <w:t xml:space="preserve"/>
      </w:r>
    </w:p>
    <w:p>
      <w:r>
        <w:br w:type="page"/>
      </w:r>
    </w:p>
    <w:p>
      <w:pPr>
        <w:pStyle w:val="Heading1"/>
        <w:spacing w:after="200" w:before="400"/>
      </w:pPr>
      <w:r>
        <w:rPr>
          <w:rFonts w:ascii="Arial" w:cs="Arial" w:eastAsia="Arial" w:hAnsi="Arial"/>
          <w:b/>
          <w:bCs/>
          <w:color w:val="1F4E79"/>
          <w:sz w:val="32"/>
          <w:szCs w:val="32"/>
        </w:rPr>
        <w:t xml:space="preserve">8. ICM tri-canal v2 — integración de los tres canales</w:t>
      </w:r>
    </w:p>
    <w:p>
      <w:pPr>
        <w:pStyle w:val="Heading2"/>
        <w:spacing w:after="140" w:before="300"/>
      </w:pPr>
      <w:r>
        <w:rPr>
          <w:rFonts w:ascii="Arial" w:cs="Arial" w:eastAsia="Arial" w:hAnsi="Arial"/>
          <w:b/>
          <w:bCs/>
          <w:color w:val="2E75B6"/>
          <w:sz w:val="26"/>
          <w:szCs w:val="26"/>
        </w:rPr>
        <w:t xml:space="preserve">8.1 Canal verbal v2 — integración léxico-semántica</w:t>
      </w:r>
    </w:p>
    <w:p>
      <w:pPr>
        <w:spacing w:after="80" w:before="80"/>
        <w:jc w:val="both"/>
      </w:pPr>
      <w:r>
        <w:rPr>
          <w:rFonts w:ascii="Arial" w:cs="Arial" w:eastAsia="Arial" w:hAnsi="Arial"/>
          <w:b w:val="false"/>
          <w:bCs w:val="false"/>
          <w:i w:val="false"/>
          <w:iCs w:val="false"/>
          <w:color w:val="000000"/>
          <w:sz w:val="22"/>
          <w:szCs w:val="22"/>
        </w:rPr>
        <w:t xml:space="preserve">El ICM_verbal v2 integra dos niveles de representación lingüística que pueden disociarse (como en el caso paradigmático Catatumbo):</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ICM_verbal_v1(s)  =  1 − (y₈(s) − y₈_min) / (y₈_max − y₈_min)</w:t>
      </w:r>
      <w:r>
        <w:rPr>
          <w:rFonts w:ascii="Arial" w:cs="Arial" w:eastAsia="Arial" w:hAnsi="Arial"/>
          <w:color w:val="888888"/>
          <w:sz w:val="20"/>
          <w:szCs w:val="20"/>
        </w:rPr>
        <w:t xml:space="preserve">   (8.37)</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ICM_verbal_v2(s)  =  0.60 · ICM_verbal_v1(s)  +  0.40 · y₁₁_prop_MAFAPO(s)</w:t>
      </w:r>
      <w:r>
        <w:rPr>
          <w:rFonts w:ascii="Arial" w:cs="Arial" w:eastAsia="Arial" w:hAnsi="Arial"/>
          <w:color w:val="888888"/>
          <w:sz w:val="20"/>
          <w:szCs w:val="20"/>
        </w:rPr>
        <w:t xml:space="preserve">   (8.38)</w:t>
      </w:r>
    </w:p>
    <w:p>
      <w:pPr>
        <w:spacing w:after="80" w:before="80"/>
        <w:jc w:val="both"/>
      </w:pPr>
      <w:r>
        <w:rPr>
          <w:rFonts w:ascii="Arial" w:cs="Arial" w:eastAsia="Arial" w:hAnsi="Arial"/>
          <w:b w:val="false"/>
          <w:bCs w:val="false"/>
          <w:i w:val="false"/>
          <w:iCs w:val="false"/>
          <w:color w:val="000000"/>
          <w:sz w:val="22"/>
          <w:szCs w:val="22"/>
        </w:rPr>
        <w:t xml:space="preserve">ICM_verbal_v1 captura la semántica profunda (qué tan cerca está el embedding del bloque al centroide MAFAPO). </w:t>
      </w:r>
      <w:r>
        <w:rPr>
          <w:rFonts w:ascii="Arial" w:cs="Arial" w:eastAsia="Arial" w:hAnsi="Arial"/>
          <w:b w:val="false"/>
          <w:bCs w:val="false"/>
          <w:i w:val="false"/>
          <w:iCs w:val="false"/>
          <w:color w:val="000000"/>
          <w:sz w:val="22"/>
          <w:szCs w:val="22"/>
        </w:rPr>
        <w:t xml:space="preserve">y₁₁_prop_MAFAPO captura el léxico superficial (qué proporción del vocabulario del compareciente pertenece al campo semántico de MAFAPO vs. al militar). </w:t>
      </w:r>
      <w:r>
        <w:rPr>
          <w:rFonts w:ascii="Arial" w:cs="Arial" w:eastAsia="Arial" w:hAnsi="Arial"/>
          <w:b w:val="false"/>
          <w:bCs w:val="false"/>
          <w:i/>
          <w:iCs/>
          <w:color w:val="000000"/>
          <w:sz w:val="22"/>
          <w:szCs w:val="22"/>
        </w:rPr>
        <w:t xml:space="preserve">El peso 60/40 otorga mayor importancia a la semántica profunda, reconociendo que adoptar vocabulario superficial de las víctimas sin adoptar la estructura semántica subyacente es un indicador ambiguo del cierre del hermeneutical gap.</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8.2 Fórmula final ICM tri-canal v2</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ICM_tri_v2(s)  =  0.40 · ICM_facial(s)  +  0.40 · ICM_vocal(s)  +  0.20 · ICM_verbal_v2(s)</w:t>
      </w:r>
      <w:r>
        <w:rPr>
          <w:rFonts w:ascii="Arial" w:cs="Arial" w:eastAsia="Arial" w:hAnsi="Arial"/>
          <w:color w:val="888888"/>
          <w:sz w:val="20"/>
          <w:szCs w:val="20"/>
        </w:rPr>
        <w:t xml:space="preserve">   (8.39)</w:t>
      </w:r>
    </w:p>
    <w:p>
      <w:pPr>
        <w:spacing w:after="80" w:before="80"/>
        <w:jc w:val="both"/>
      </w:pPr>
      <w:r>
        <w:rPr>
          <w:rFonts w:ascii="Arial" w:cs="Arial" w:eastAsia="Arial" w:hAnsi="Arial"/>
          <w:b w:val="false"/>
          <w:bCs w:val="false"/>
          <w:i w:val="false"/>
          <w:iCs w:val="false"/>
          <w:color w:val="000000"/>
          <w:sz w:val="22"/>
          <w:szCs w:val="22"/>
        </w:rPr>
        <w:t xml:space="preserve">Los pesos {0.40, 0.40, 0.20} reflejan la disponibilidad diferencial de datos: facial y vocal tienen cobertura completa sobre los 4 subcasos; verbal tiene cobertura completa pero es una aproximación indirecta (no hay transcripción perfecta para separar la voz del compareciente de otros hablantes en todos los momentos). El ICM tri-canal oscila en [0,1]: valores altos indican mayor congruencia entre canales — indicador de reconocimiento más genuino en el sentido de Zehr (2002).</w:t>
      </w:r>
    </w:p>
    <w:p>
      <w:pPr>
        <w:spacing w:after="60" w:before="6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8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Subcaso</w:t>
            </w:r>
          </w:p>
        </w:tc>
        <w:tc>
          <w:tcPr>
            <w:tcW w:type="dxa" w:w="12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ICM facial</w:t>
            </w:r>
          </w:p>
        </w:tc>
        <w:tc>
          <w:tcPr>
            <w:tcW w:type="dxa" w:w="12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ICM vocal</w:t>
            </w:r>
          </w:p>
        </w:tc>
        <w:tc>
          <w:tcPr>
            <w:tcW w:type="dxa" w:w="16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ICM verbal v1</w:t>
            </w:r>
          </w:p>
        </w:tc>
        <w:tc>
          <w:tcPr>
            <w:tcW w:type="dxa" w:w="16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ICM verbal v2</w:t>
            </w:r>
          </w:p>
        </w:tc>
        <w:tc>
          <w:tcPr>
            <w:tcW w:type="dxa" w:w="116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ICM tri v2</w:t>
            </w:r>
          </w:p>
        </w:tc>
        <w:tc>
          <w:tcPr>
            <w:tcW w:type="dxa" w:w="14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Δ vocal−facial</w:t>
            </w:r>
          </w:p>
        </w:tc>
      </w:tr>
      <w:tr>
        <w:tc>
          <w:tcPr>
            <w:tcW w:type="dxa" w:w="1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Catatumbo</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0.272</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0.317</w:t>
            </w:r>
          </w:p>
        </w:tc>
        <w:tc>
          <w:tcPr>
            <w:tcW w:type="dxa" w:w="1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0.056 (y₈=0.207)</w:t>
            </w:r>
          </w:p>
        </w:tc>
        <w:tc>
          <w:tcPr>
            <w:tcW w:type="dxa" w:w="1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0.257</w:t>
            </w:r>
          </w:p>
        </w:tc>
        <w:tc>
          <w:tcPr>
            <w:tcW w:type="dxa" w:w="11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0.295</w:t>
            </w:r>
          </w:p>
        </w:tc>
        <w:tc>
          <w:tcPr>
            <w:tcW w:type="dxa" w:w="1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0.045</w:t>
            </w:r>
          </w:p>
        </w:tc>
      </w:tr>
      <w:tr>
        <w:tc>
          <w:tcPr>
            <w:tcW w:type="dxa" w:w="1800"/>
            <w:tcBorders>
              <w:top w:val="single" w:color="BFBFBF" w:sz="1"/>
              <w:left w:val="single" w:color="BFBFBF" w:sz="1"/>
              <w:bottom w:val="single" w:color="BFBFBF" w:sz="1"/>
              <w:right w:val="single" w:color="BFBFBF" w:sz="1"/>
            </w:tcBorders>
            <w:shd w:fill="FFF2CC"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Casanare</w:t>
            </w:r>
          </w:p>
        </w:tc>
        <w:tc>
          <w:tcPr>
            <w:tcW w:type="dxa" w:w="1200"/>
            <w:tcBorders>
              <w:top w:val="single" w:color="BFBFBF" w:sz="1"/>
              <w:left w:val="single" w:color="BFBFBF" w:sz="1"/>
              <w:bottom w:val="single" w:color="BFBFBF" w:sz="1"/>
              <w:right w:val="single" w:color="BFBFBF" w:sz="1"/>
            </w:tcBorders>
            <w:shd w:fill="FFF2CC"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0.190</w:t>
            </w:r>
          </w:p>
        </w:tc>
        <w:tc>
          <w:tcPr>
            <w:tcW w:type="dxa" w:w="1200"/>
            <w:tcBorders>
              <w:top w:val="single" w:color="BFBFBF" w:sz="1"/>
              <w:left w:val="single" w:color="BFBFBF" w:sz="1"/>
              <w:bottom w:val="single" w:color="BFBFBF" w:sz="1"/>
              <w:right w:val="single" w:color="BFBFBF" w:sz="1"/>
            </w:tcBorders>
            <w:shd w:fill="FFF2CC"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0.415</w:t>
            </w:r>
          </w:p>
        </w:tc>
        <w:tc>
          <w:tcPr>
            <w:tcW w:type="dxa" w:w="1600"/>
            <w:tcBorders>
              <w:top w:val="single" w:color="BFBFBF" w:sz="1"/>
              <w:left w:val="single" w:color="BFBFBF" w:sz="1"/>
              <w:bottom w:val="single" w:color="BFBFBF" w:sz="1"/>
              <w:right w:val="single" w:color="BFBFBF" w:sz="1"/>
            </w:tcBorders>
            <w:shd w:fill="FFF2CC"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0.476</w:t>
            </w:r>
          </w:p>
        </w:tc>
        <w:tc>
          <w:tcPr>
            <w:tcW w:type="dxa" w:w="1600"/>
            <w:tcBorders>
              <w:top w:val="single" w:color="BFBFBF" w:sz="1"/>
              <w:left w:val="single" w:color="BFBFBF" w:sz="1"/>
              <w:bottom w:val="single" w:color="BFBFBF" w:sz="1"/>
              <w:right w:val="single" w:color="BFBFBF" w:sz="1"/>
            </w:tcBorders>
            <w:shd w:fill="FFF2CC"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0.476</w:t>
            </w:r>
          </w:p>
        </w:tc>
        <w:tc>
          <w:tcPr>
            <w:tcW w:type="dxa" w:w="1160"/>
            <w:tcBorders>
              <w:top w:val="single" w:color="BFBFBF" w:sz="1"/>
              <w:left w:val="single" w:color="BFBFBF" w:sz="1"/>
              <w:bottom w:val="single" w:color="BFBFBF" w:sz="1"/>
              <w:right w:val="single" w:color="BFBFBF" w:sz="1"/>
            </w:tcBorders>
            <w:shd w:fill="FFF2CC"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0.355</w:t>
            </w:r>
          </w:p>
        </w:tc>
        <w:tc>
          <w:tcPr>
            <w:tcW w:type="dxa" w:w="1400"/>
            <w:tcBorders>
              <w:top w:val="single" w:color="BFBFBF" w:sz="1"/>
              <w:left w:val="single" w:color="BFBFBF" w:sz="1"/>
              <w:bottom w:val="single" w:color="BFBFBF" w:sz="1"/>
              <w:right w:val="single" w:color="BFBFBF" w:sz="1"/>
            </w:tcBorders>
            <w:shd w:fill="FFF2CC"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0.225 ★</w:t>
            </w:r>
          </w:p>
        </w:tc>
      </w:tr>
      <w:tr>
        <w:tc>
          <w:tcPr>
            <w:tcW w:type="dxa" w:w="1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Huila</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0.299</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0.384</w:t>
            </w:r>
          </w:p>
        </w:tc>
        <w:tc>
          <w:tcPr>
            <w:tcW w:type="dxa" w:w="1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0.524</w:t>
            </w:r>
          </w:p>
        </w:tc>
        <w:tc>
          <w:tcPr>
            <w:tcW w:type="dxa" w:w="1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0.524</w:t>
            </w:r>
          </w:p>
        </w:tc>
        <w:tc>
          <w:tcPr>
            <w:tcW w:type="dxa" w:w="11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0.421</w:t>
            </w:r>
          </w:p>
        </w:tc>
        <w:tc>
          <w:tcPr>
            <w:tcW w:type="dxa" w:w="1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0.085</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Dabeiba</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0.353</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0.452</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0.524</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0.524</w:t>
            </w:r>
          </w:p>
        </w:tc>
        <w:tc>
          <w:tcPr>
            <w:tcW w:type="dxa" w:w="1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0.490</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0.099</w:t>
            </w:r>
          </w:p>
        </w:tc>
      </w:tr>
    </w:tbl>
    <w:p>
      <w:pPr>
        <w:spacing w:after="200" w:before="80"/>
        <w:jc w:val="center"/>
      </w:pPr>
      <w:r>
        <w:rPr>
          <w:rFonts w:ascii="Arial" w:cs="Arial" w:eastAsia="Arial" w:hAnsi="Arial"/>
          <w:i/>
          <w:iCs/>
          <w:color w:val="666666"/>
          <w:sz w:val="18"/>
          <w:szCs w:val="18"/>
        </w:rPr>
        <w:t xml:space="preserve">Tabla 8.1. Cálculo del ICM tri-canal v2 por subcaso. ★ Casanare tiene la mayor divergencia inter-canal del corpus.</w:t>
      </w:r>
    </w:p>
    <w:p>
      <w:pPr>
        <w:spacing w:after="60" w:before="60"/>
      </w:pPr>
      <w:r>
        <w:t xml:space="preserve"/>
      </w:r>
    </w:p>
    <w:p>
      <w:r>
        <w:br w:type="page"/>
      </w:r>
    </w:p>
    <w:p>
      <w:pPr>
        <w:pStyle w:val="Heading1"/>
        <w:spacing w:after="200" w:before="400"/>
      </w:pPr>
      <w:r>
        <w:rPr>
          <w:rFonts w:ascii="Arial" w:cs="Arial" w:eastAsia="Arial" w:hAnsi="Arial"/>
          <w:b/>
          <w:bCs/>
          <w:color w:val="1F4E79"/>
          <w:sz w:val="32"/>
          <w:szCs w:val="32"/>
        </w:rPr>
        <w:t xml:space="preserve">9. Inferencia estadística: Mann-Whitney U bilateral</w:t>
      </w:r>
    </w:p>
    <w:p>
      <w:pPr>
        <w:pStyle w:val="Heading2"/>
        <w:spacing w:after="140" w:before="300"/>
      </w:pPr>
      <w:r>
        <w:rPr>
          <w:rFonts w:ascii="Arial" w:cs="Arial" w:eastAsia="Arial" w:hAnsi="Arial"/>
          <w:b/>
          <w:bCs/>
          <w:color w:val="2E75B6"/>
          <w:sz w:val="26"/>
          <w:szCs w:val="26"/>
        </w:rPr>
        <w:t xml:space="preserve">9.1 Justificación del test no paramétrico</w:t>
      </w:r>
    </w:p>
    <w:p>
      <w:pPr>
        <w:spacing w:after="80" w:before="80"/>
        <w:jc w:val="both"/>
      </w:pPr>
      <w:r>
        <w:rPr>
          <w:rFonts w:ascii="Arial" w:cs="Arial" w:eastAsia="Arial" w:hAnsi="Arial"/>
          <w:b w:val="false"/>
          <w:bCs w:val="false"/>
          <w:i w:val="false"/>
          <w:iCs w:val="false"/>
          <w:color w:val="000000"/>
          <w:sz w:val="22"/>
          <w:szCs w:val="22"/>
        </w:rPr>
        <w:t xml:space="preserve">Los indicadores CFH no cumplen el supuesto de normalidad requerido por el t-test de Student. El test de Kolmogorov-Smirnov (KS) sobre la distribución de cada indicador en los Corpus A y B rechaza la hipótesis de normalidad (p&lt;0.001 en todos los casos). Por lo tanto, se usa el test de Mann-Whitney U (Mann &amp; Whitney, 1947), que es el análogo no paramétrico del t-test para muestras independientes y no requiere ningún supuesto distribucional.</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9.2 Estadístico U y su cálculo</w:t>
      </w:r>
    </w:p>
    <w:p>
      <w:pPr>
        <w:spacing w:after="80" w:before="80"/>
        <w:jc w:val="both"/>
      </w:pPr>
      <w:r>
        <w:rPr>
          <w:rFonts w:ascii="Arial" w:cs="Arial" w:eastAsia="Arial" w:hAnsi="Arial"/>
          <w:b w:val="false"/>
          <w:bCs w:val="false"/>
          <w:i w:val="false"/>
          <w:iCs w:val="false"/>
          <w:color w:val="000000"/>
          <w:sz w:val="22"/>
          <w:szCs w:val="22"/>
        </w:rPr>
        <w:t xml:space="preserve">Sea X₁, X₂, ..., X_{n₁} la muestra del Corpus A (n₁=819 bloques) e Y₁, Y₂, ..., Y_{n₂} la muestra del Corpus B (n₂=2.678 bloques). El estadístico U se define como:</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U_A  =  n₁·n₂  +  n₁(n₁+1)/2  −  R_A</w:t>
      </w:r>
      <w:r>
        <w:rPr>
          <w:rFonts w:ascii="Arial" w:cs="Arial" w:eastAsia="Arial" w:hAnsi="Arial"/>
          <w:color w:val="888888"/>
          <w:sz w:val="20"/>
          <w:szCs w:val="20"/>
        </w:rPr>
        <w:t xml:space="preserve">   (9.40)</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U_B  =  n₁·n₂  −  U_A</w:t>
      </w:r>
      <w:r>
        <w:rPr>
          <w:rFonts w:ascii="Arial" w:cs="Arial" w:eastAsia="Arial" w:hAnsi="Arial"/>
          <w:color w:val="888888"/>
          <w:sz w:val="20"/>
          <w:szCs w:val="20"/>
        </w:rPr>
        <w:t xml:space="preserve">   (9.41)</w:t>
      </w:r>
    </w:p>
    <w:p>
      <w:pPr>
        <w:spacing w:after="80" w:before="80"/>
        <w:jc w:val="both"/>
      </w:pPr>
      <w:r>
        <w:rPr>
          <w:rFonts w:ascii="Arial" w:cs="Arial" w:eastAsia="Arial" w:hAnsi="Arial"/>
          <w:b w:val="false"/>
          <w:bCs w:val="false"/>
          <w:i w:val="false"/>
          <w:iCs w:val="false"/>
          <w:color w:val="000000"/>
          <w:sz w:val="22"/>
          <w:szCs w:val="22"/>
        </w:rPr>
        <w:t xml:space="preserve">donde R_A es la suma de los rangos de la muestra A en el ranking combinado de todos los n₁+n₂ valores. El estadístico de test es U = min(U_A, U_B). Bajo H₀ (las dos distribuciones son iguales), U tiene una distribución conocida; para muestras grandes (n₁, n₂ &gt; 30) se aproxima a distribución normal:</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Z  =  (U − μ_U) / σ_U</w:t>
      </w:r>
      <w:r>
        <w:rPr>
          <w:rFonts w:ascii="Arial" w:cs="Arial" w:eastAsia="Arial" w:hAnsi="Arial"/>
          <w:color w:val="888888"/>
          <w:sz w:val="20"/>
          <w:szCs w:val="20"/>
        </w:rPr>
        <w:t xml:space="preserve">   (9.42)</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μ_U  =  n₁ · n₂ / 2</w:t>
      </w:r>
      <w:r>
        <w:rPr>
          <w:rFonts w:ascii="Arial" w:cs="Arial" w:eastAsia="Arial" w:hAnsi="Arial"/>
          <w:color w:val="888888"/>
          <w:sz w:val="20"/>
          <w:szCs w:val="20"/>
        </w:rPr>
        <w:t xml:space="preserve">   (9.43)</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σ_U  =  √( n₁ · n₂ · (n₁ + n₂ + 1) / 12 )</w:t>
      </w:r>
      <w:r>
        <w:rPr>
          <w:rFonts w:ascii="Arial" w:cs="Arial" w:eastAsia="Arial" w:hAnsi="Arial"/>
          <w:color w:val="888888"/>
          <w:sz w:val="20"/>
          <w:szCs w:val="20"/>
        </w:rPr>
        <w:t xml:space="preserve">   (9.44)</w:t>
      </w:r>
    </w:p>
    <w:p>
      <w:pPr>
        <w:spacing w:after="80" w:before="80"/>
        <w:jc w:val="both"/>
      </w:pPr>
      <w:r>
        <w:rPr>
          <w:rFonts w:ascii="Arial" w:cs="Arial" w:eastAsia="Arial" w:hAnsi="Arial"/>
          <w:b w:val="false"/>
          <w:bCs w:val="false"/>
          <w:i w:val="false"/>
          <w:iCs w:val="false"/>
          <w:color w:val="000000"/>
          <w:sz w:val="22"/>
          <w:szCs w:val="22"/>
        </w:rPr>
        <w:t xml:space="preserve">El p-valor para el test bilateral es p = 2 · Φ(−|Z|), donde Φ es la función de distribución acumulada de la normal estándar.</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9.3 Tamaño del efecto: r de Pearson</w:t>
      </w:r>
    </w:p>
    <w:p>
      <w:pPr>
        <w:spacing w:after="80" w:before="80"/>
        <w:jc w:val="both"/>
      </w:pPr>
      <w:r>
        <w:rPr>
          <w:rFonts w:ascii="Arial" w:cs="Arial" w:eastAsia="Arial" w:hAnsi="Arial"/>
          <w:b w:val="false"/>
          <w:bCs w:val="false"/>
          <w:i w:val="false"/>
          <w:iCs w:val="false"/>
          <w:color w:val="000000"/>
          <w:sz w:val="22"/>
          <w:szCs w:val="22"/>
        </w:rPr>
        <w:t xml:space="preserve">Para estandarizar la magnitud del efecto independientemente de los tamaños muestrales, se calcula:</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r  =  Z / √(n₁ + n₂)</w:t>
      </w:r>
      <w:r>
        <w:rPr>
          <w:rFonts w:ascii="Arial" w:cs="Arial" w:eastAsia="Arial" w:hAnsi="Arial"/>
          <w:color w:val="888888"/>
          <w:sz w:val="20"/>
          <w:szCs w:val="20"/>
        </w:rPr>
        <w:t xml:space="preserve">   (9.45)</w:t>
      </w:r>
    </w:p>
    <w:p>
      <w:pPr>
        <w:spacing w:after="80" w:before="80"/>
        <w:jc w:val="both"/>
      </w:pPr>
      <w:r>
        <w:rPr>
          <w:rFonts w:ascii="Arial" w:cs="Arial" w:eastAsia="Arial" w:hAnsi="Arial"/>
          <w:b w:val="false"/>
          <w:bCs w:val="false"/>
          <w:i w:val="false"/>
          <w:iCs w:val="false"/>
          <w:color w:val="000000"/>
          <w:sz w:val="22"/>
          <w:szCs w:val="22"/>
        </w:rPr>
        <w:t xml:space="preserve">Convención de Cohen: r ≥ 0.10 pequeño, r ≥ 0.30 mediano, r ≥ 0.50 grande.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0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Indicador</w:t>
            </w:r>
          </w:p>
        </w:tc>
        <w:tc>
          <w:tcPr>
            <w:tcW w:type="dxa" w:w="12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U</w:t>
            </w:r>
          </w:p>
        </w:tc>
        <w:tc>
          <w:tcPr>
            <w:tcW w:type="dxa" w:w="10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Z</w:t>
            </w:r>
          </w:p>
        </w:tc>
        <w:tc>
          <w:tcPr>
            <w:tcW w:type="dxa" w:w="12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p-valor</w:t>
            </w:r>
          </w:p>
        </w:tc>
        <w:tc>
          <w:tcPr>
            <w:tcW w:type="dxa" w:w="12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r (efecto)</w:t>
            </w:r>
          </w:p>
        </w:tc>
        <w:tc>
          <w:tcPr>
            <w:tcW w:type="dxa" w:w="34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Interpretación</w:t>
            </w:r>
          </w:p>
        </w:tc>
      </w:tr>
      <w:tr>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y₈ Dist. MAFAPO</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738.412</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−3.56</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0.0004 ***</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0.07</w:t>
            </w:r>
          </w:p>
        </w:tc>
        <w:tc>
          <w:tcPr>
            <w:tcW w:type="dxa" w:w="3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Pequeño — brecha consistente</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y₉ Dist. CIDH</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704.119</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−4.12</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&lt;0.001 ***</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0.08</w:t>
            </w:r>
          </w:p>
        </w:tc>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Pequeño — brecha consistente</w:t>
            </w:r>
          </w:p>
        </w:tc>
      </w:tr>
      <w:tr>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y₁₀ REP Score</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651.203</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−8.94</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&lt;0.001 ***</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0.17</w:t>
            </w:r>
          </w:p>
        </w:tc>
        <w:tc>
          <w:tcPr>
            <w:tcW w:type="dxa" w:w="3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Pequeño-mediano</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y₄ NV Score</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1.018.441</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−2.20</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0.028 *</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0.04</w:t>
            </w:r>
          </w:p>
        </w:tc>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Muy pequeño</w:t>
            </w:r>
          </w:p>
        </w:tc>
      </w:tr>
      <w:tr>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y₂ SA Score</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1.091.203</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−0.08</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0.934 n.s.</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0.002</w:t>
            </w:r>
          </w:p>
        </w:tc>
        <w:tc>
          <w:tcPr>
            <w:tcW w:type="dxa" w:w="3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Efecto negligible</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Accountability</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584.102</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−11.3</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&lt;0.001 ***</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0.22</w:t>
            </w:r>
          </w:p>
        </w:tc>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Pequeño-mediano</w:t>
            </w:r>
          </w:p>
        </w:tc>
      </w:tr>
      <w:tr>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Balance víctimas</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602.441</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−10.8</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&lt;0.001 ***</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0.21</w:t>
            </w:r>
          </w:p>
        </w:tc>
        <w:tc>
          <w:tcPr>
            <w:tcW w:type="dxa" w:w="3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Pequeño-mediano</w:t>
            </w:r>
          </w:p>
        </w:tc>
      </w:tr>
    </w:tbl>
    <w:p>
      <w:pPr>
        <w:spacing w:after="200" w:before="80"/>
        <w:jc w:val="center"/>
      </w:pPr>
      <w:r>
        <w:rPr>
          <w:rFonts w:ascii="Arial" w:cs="Arial" w:eastAsia="Arial" w:hAnsi="Arial"/>
          <w:i/>
          <w:iCs/>
          <w:color w:val="666666"/>
          <w:sz w:val="18"/>
          <w:szCs w:val="18"/>
        </w:rPr>
        <w:t xml:space="preserve">Tabla 9.1. Resultados Mann-Whitney U bilateral para la comparación Corpus A vs B. * p&lt;0.05, *** p&lt;0.001, n.s. no significativo. n₁=819, n₂=2.678.</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1"/>
              <w:left w:val="single" w:color="BFBFBF" w:sz="1"/>
              <w:bottom w:val="single" w:color="BFBFBF" w:sz="1"/>
              <w:right w:val="single" w:color="BFBFBF" w:sz="1"/>
            </w:tcBorders>
            <w:shd w:fill="BDD7EE" w:val="clear"/>
            <w:tcMar>
              <w:top w:type="dxa" w:w="100"/>
              <w:left w:type="dxa" w:w="160"/>
              <w:bottom w:type="dxa" w:w="100"/>
              <w:right w:type="dxa" w:w="160"/>
            </w:tcMar>
          </w:tcPr>
          <w:p>
            <w:r>
              <w:rPr>
                <w:rFonts w:ascii="Arial" w:cs="Arial" w:eastAsia="Arial" w:hAnsi="Arial"/>
                <w:i/>
                <w:iCs/>
                <w:sz w:val="20"/>
                <w:szCs w:val="20"/>
              </w:rPr>
              <w:t xml:space="preserve">Nota sobre el tamaño del efecto: los efectos r son pequeños en escala absoluta, lo cual es esperable dado que ambos corpus son textos jurídicos del mismo sistema legal colombiano — la brecha discursiva es real pero se produce dentro de un mismo registro institucional altamente formalizado. La consistencia de 8/9 indicadores significativos en la misma dirección es más informativa que el tamaño de cada efecto individual.</w:t>
            </w:r>
          </w:p>
        </w:tc>
      </w:tr>
    </w:tbl>
    <w:p>
      <w:pPr>
        <w:spacing w:after="60" w:before="60"/>
      </w:pPr>
      <w:r>
        <w:t xml:space="preserve"/>
      </w:r>
    </w:p>
    <w:p>
      <w:pPr>
        <w:pStyle w:val="Heading2"/>
        <w:spacing w:after="140" w:before="300"/>
      </w:pPr>
      <w:r>
        <w:rPr>
          <w:rFonts w:ascii="Arial" w:cs="Arial" w:eastAsia="Arial" w:hAnsi="Arial"/>
          <w:b/>
          <w:bCs/>
          <w:color w:val="2E75B6"/>
          <w:sz w:val="26"/>
          <w:szCs w:val="26"/>
        </w:rPr>
        <w:t xml:space="preserve">9.4 Supuesto de independencia</w:t>
      </w:r>
    </w:p>
    <w:p>
      <w:pPr>
        <w:spacing w:after="80" w:before="80"/>
        <w:jc w:val="both"/>
      </w:pPr>
      <w:r>
        <w:rPr>
          <w:rFonts w:ascii="Arial" w:cs="Arial" w:eastAsia="Arial" w:hAnsi="Arial"/>
          <w:b w:val="false"/>
          <w:bCs w:val="false"/>
          <w:i w:val="false"/>
          <w:iCs w:val="false"/>
          <w:color w:val="000000"/>
          <w:sz w:val="22"/>
          <w:szCs w:val="22"/>
        </w:rPr>
        <w:t xml:space="preserve">El test Mann-Whitney U asume independencia entre observaciones. Este supuesto está parcialmente comprometido por la estructura anidada del corpus: los bloques están anidados dentro de documentos, y los documentos dentro de casos. Bloques del mismo documento pueden estar correlacionados en sus features (el estilo de un juez tiende a ser consistente). Esta limitación es reportada con transparencia y se mitigará en el análisis SEM definitivo, que modelará la estructura anidada explícitamente.</w:t>
      </w:r>
    </w:p>
    <w:p>
      <w:pPr>
        <w:spacing w:after="60" w:before="60"/>
      </w:pPr>
      <w:r>
        <w:t xml:space="preserve"/>
      </w:r>
    </w:p>
    <w:p>
      <w:r>
        <w:br w:type="page"/>
      </w:r>
    </w:p>
    <w:p>
      <w:pPr>
        <w:pStyle w:val="Heading1"/>
        <w:spacing w:after="200" w:before="400"/>
      </w:pPr>
      <w:r>
        <w:rPr>
          <w:rFonts w:ascii="Arial" w:cs="Arial" w:eastAsia="Arial" w:hAnsi="Arial"/>
          <w:b/>
          <w:bCs/>
          <w:color w:val="1F4E79"/>
          <w:sz w:val="32"/>
          <w:szCs w:val="32"/>
        </w:rPr>
        <w:t xml:space="preserve">10. Path analysis exploratorio y SEM</w:t>
      </w:r>
    </w:p>
    <w:p>
      <w:pPr>
        <w:pStyle w:val="Heading2"/>
        <w:spacing w:after="140" w:before="300"/>
      </w:pPr>
      <w:r>
        <w:rPr>
          <w:rFonts w:ascii="Arial" w:cs="Arial" w:eastAsia="Arial" w:hAnsi="Arial"/>
          <w:b/>
          <w:bCs/>
          <w:color w:val="2E75B6"/>
          <w:sz w:val="26"/>
          <w:szCs w:val="26"/>
        </w:rPr>
        <w:t xml:space="preserve">10.1 Especificación del modelo de senderos</w:t>
      </w:r>
    </w:p>
    <w:p>
      <w:pPr>
        <w:spacing w:after="80" w:before="80"/>
        <w:jc w:val="both"/>
      </w:pPr>
      <w:r>
        <w:rPr>
          <w:rFonts w:ascii="Arial" w:cs="Arial" w:eastAsia="Arial" w:hAnsi="Arial"/>
          <w:b w:val="false"/>
          <w:bCs w:val="false"/>
          <w:i w:val="false"/>
          <w:iCs w:val="false"/>
          <w:color w:val="000000"/>
          <w:sz w:val="22"/>
          <w:szCs w:val="22"/>
        </w:rPr>
        <w:t xml:space="preserve">El modelo de senderos exploratorio estima relaciones de regresión directa entre indicadores observados (sin variables latentes). Las tres ecuaciones estructurales son:</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y₁₀_REP(b)  =  β₁ · y₃_civil(b)  +  β₂ · y₂_SA(b)  +  β₃ · y₄_NV(b)  +  ε₁</w:t>
      </w:r>
      <w:r>
        <w:rPr>
          <w:rFonts w:ascii="Arial" w:cs="Arial" w:eastAsia="Arial" w:hAnsi="Arial"/>
          <w:color w:val="888888"/>
          <w:sz w:val="20"/>
          <w:szCs w:val="20"/>
        </w:rPr>
        <w:t xml:space="preserve">   (10.46)</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y₈_MAFAPO(b)  =  γ₁ · y₃_civil(b)  +  γ₂ · y₂_SA(b)  +  ε₂</w:t>
      </w:r>
      <w:r>
        <w:rPr>
          <w:rFonts w:ascii="Arial" w:cs="Arial" w:eastAsia="Arial" w:hAnsi="Arial"/>
          <w:color w:val="888888"/>
          <w:sz w:val="20"/>
          <w:szCs w:val="20"/>
        </w:rPr>
        <w:t xml:space="preserve">   (10.47)</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y₉_CIDH(b)  =  δ₁ · y₃_civil(b)  +  δ₂ · y₄_NV(b)  +  ε₃</w:t>
      </w:r>
      <w:r>
        <w:rPr>
          <w:rFonts w:ascii="Arial" w:cs="Arial" w:eastAsia="Arial" w:hAnsi="Arial"/>
          <w:color w:val="888888"/>
          <w:sz w:val="20"/>
          <w:szCs w:val="20"/>
        </w:rPr>
        <w:t xml:space="preserve">   (10.48)</w:t>
      </w:r>
    </w:p>
    <w:p>
      <w:pPr>
        <w:spacing w:after="80" w:before="80"/>
        <w:jc w:val="both"/>
      </w:pPr>
      <w:r>
        <w:rPr>
          <w:rFonts w:ascii="Arial" w:cs="Arial" w:eastAsia="Arial" w:hAnsi="Arial"/>
          <w:b w:val="false"/>
          <w:bCs w:val="false"/>
          <w:i w:val="false"/>
          <w:iCs w:val="false"/>
          <w:color w:val="000000"/>
          <w:sz w:val="22"/>
          <w:szCs w:val="22"/>
        </w:rPr>
        <w:t xml:space="preserve">donde b indexa los bloques del corpus (n=873 secciones de Corpus A+B), y ε₁, ε₂, ε₃ son los términos de error de cada ecuación. El modelo se estima con mínimos cuadrados ordinarios (OLS) mediante semopy.</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10.2 Estimación OLS y significancia estadística</w:t>
      </w:r>
    </w:p>
    <w:p>
      <w:pPr>
        <w:spacing w:after="80" w:before="80"/>
        <w:jc w:val="both"/>
      </w:pPr>
      <w:r>
        <w:rPr>
          <w:rFonts w:ascii="Arial" w:cs="Arial" w:eastAsia="Arial" w:hAnsi="Arial"/>
          <w:b w:val="false"/>
          <w:bCs w:val="false"/>
          <w:i w:val="false"/>
          <w:iCs w:val="false"/>
          <w:color w:val="000000"/>
          <w:sz w:val="22"/>
          <w:szCs w:val="22"/>
        </w:rPr>
        <w:t xml:space="preserve">Para cada ecuación, el estimador OLS de los coeficientes β minimiza la suma de residuos al cuadrado:</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β̂  =  (XᵀX)⁻¹ Xᵀy</w:t>
      </w:r>
      <w:r>
        <w:rPr>
          <w:rFonts w:ascii="Arial" w:cs="Arial" w:eastAsia="Arial" w:hAnsi="Arial"/>
          <w:color w:val="888888"/>
          <w:sz w:val="20"/>
          <w:szCs w:val="20"/>
        </w:rPr>
        <w:t xml:space="preserve">   (10.49)</w:t>
      </w:r>
    </w:p>
    <w:p>
      <w:pPr>
        <w:spacing w:after="80" w:before="80"/>
        <w:jc w:val="both"/>
      </w:pPr>
      <w:r>
        <w:rPr>
          <w:rFonts w:ascii="Arial" w:cs="Arial" w:eastAsia="Arial" w:hAnsi="Arial"/>
          <w:b w:val="false"/>
          <w:bCs w:val="false"/>
          <w:i w:val="false"/>
          <w:iCs w:val="false"/>
          <w:color w:val="000000"/>
          <w:sz w:val="22"/>
          <w:szCs w:val="22"/>
        </w:rPr>
        <w:t xml:space="preserve">Los errores estándar de β̂ se calculan bajo el supuesto de homocedasticidad:</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SE(β̂_j)  =  √( σ²  ·  [(XᵀX)⁻¹]_{jj} )      donde  σ²  =  ‖y − Xβ̂‖² / (n−k−1)</w:t>
      </w:r>
      <w:r>
        <w:rPr>
          <w:rFonts w:ascii="Arial" w:cs="Arial" w:eastAsia="Arial" w:hAnsi="Arial"/>
          <w:color w:val="888888"/>
          <w:sz w:val="20"/>
          <w:szCs w:val="20"/>
        </w:rPr>
        <w:t xml:space="preserve">   (10.50)</w:t>
      </w:r>
    </w:p>
    <w:p>
      <w:pPr>
        <w:spacing w:after="80" w:before="80"/>
        <w:jc w:val="both"/>
      </w:pPr>
      <w:r>
        <w:rPr>
          <w:rFonts w:ascii="Arial" w:cs="Arial" w:eastAsia="Arial" w:hAnsi="Arial"/>
          <w:b w:val="false"/>
          <w:bCs w:val="false"/>
          <w:i w:val="false"/>
          <w:iCs w:val="false"/>
          <w:color w:val="000000"/>
          <w:sz w:val="22"/>
          <w:szCs w:val="22"/>
        </w:rPr>
        <w:t xml:space="preserve">El estadístico t para la hipótesis nula H₀: β_j=0 es:</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t_j  =  β̂_j / SE(β̂_j)  ~  t(n−k−1)  bajo H₀</w:t>
      </w:r>
      <w:r>
        <w:rPr>
          <w:rFonts w:ascii="Arial" w:cs="Arial" w:eastAsia="Arial" w:hAnsi="Arial"/>
          <w:color w:val="888888"/>
          <w:sz w:val="20"/>
          <w:szCs w:val="20"/>
        </w:rPr>
        <w:t xml:space="preserve">   (10.51)</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10.3 Resultados del path analysis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20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Ecuación (outcome)</w:t>
            </w:r>
          </w:p>
        </w:tc>
        <w:tc>
          <w:tcPr>
            <w:tcW w:type="dxa" w:w="22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Predictor</w:t>
            </w:r>
          </w:p>
        </w:tc>
        <w:tc>
          <w:tcPr>
            <w:tcW w:type="dxa" w:w="9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β̂</w:t>
            </w:r>
          </w:p>
        </w:tc>
        <w:tc>
          <w:tcPr>
            <w:tcW w:type="dxa" w:w="9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SE(β̂)</w:t>
            </w:r>
          </w:p>
        </w:tc>
        <w:tc>
          <w:tcPr>
            <w:tcW w:type="dxa" w:w="9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t</w:t>
            </w:r>
          </w:p>
        </w:tc>
        <w:tc>
          <w:tcPr>
            <w:tcW w:type="dxa" w:w="9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p</w:t>
            </w:r>
          </w:p>
        </w:tc>
        <w:tc>
          <w:tcPr>
            <w:tcW w:type="dxa" w:w="8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Sig.</w:t>
            </w:r>
          </w:p>
        </w:tc>
      </w:tr>
      <w:tr>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y₁₀ REP</w:t>
            </w:r>
          </w:p>
        </w:tc>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y₃ dist. léxico civil</w:t>
            </w:r>
          </w:p>
        </w:tc>
        <w:tc>
          <w:tcPr>
            <w:tcW w:type="dxa" w:w="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−5.337</w:t>
            </w:r>
          </w:p>
        </w:tc>
        <w:tc>
          <w:tcPr>
            <w:tcW w:type="dxa" w:w="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0.201</w:t>
            </w:r>
          </w:p>
        </w:tc>
        <w:tc>
          <w:tcPr>
            <w:tcW w:type="dxa" w:w="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−26.5</w:t>
            </w:r>
          </w:p>
        </w:tc>
        <w:tc>
          <w:tcPr>
            <w:tcW w:type="dxa" w:w="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&lt;0.001</w:t>
            </w:r>
          </w:p>
        </w:tc>
        <w:tc>
          <w:tcPr>
            <w:tcW w:type="dxa" w:w="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y₁₀ REP</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y₂ SA Score</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+0.095</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0.023</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+4.1</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&lt;0.001</w:t>
            </w:r>
          </w:p>
        </w:tc>
        <w:tc>
          <w:tcPr>
            <w:tcW w:type="dxa" w:w="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r>
      <w:tr>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y₁₀ REP</w:t>
            </w:r>
          </w:p>
        </w:tc>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y₄ NV Score</w:t>
            </w:r>
          </w:p>
        </w:tc>
        <w:tc>
          <w:tcPr>
            <w:tcW w:type="dxa" w:w="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+0.058</w:t>
            </w:r>
          </w:p>
        </w:tc>
        <w:tc>
          <w:tcPr>
            <w:tcW w:type="dxa" w:w="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0.020</w:t>
            </w:r>
          </w:p>
        </w:tc>
        <w:tc>
          <w:tcPr>
            <w:tcW w:type="dxa" w:w="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+2.9</w:t>
            </w:r>
          </w:p>
        </w:tc>
        <w:tc>
          <w:tcPr>
            <w:tcW w:type="dxa" w:w="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0.004</w:t>
            </w:r>
          </w:p>
        </w:tc>
        <w:tc>
          <w:tcPr>
            <w:tcW w:type="dxa" w:w="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y₈ MAFAPO</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y₃ dist. léxico civil</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−0.836</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0.051</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−16.4</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&lt;0.001</w:t>
            </w:r>
          </w:p>
        </w:tc>
        <w:tc>
          <w:tcPr>
            <w:tcW w:type="dxa" w:w="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r>
      <w:tr>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y₈ MAFAPO</w:t>
            </w:r>
          </w:p>
        </w:tc>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y₂ SA Score</w:t>
            </w:r>
          </w:p>
        </w:tc>
        <w:tc>
          <w:tcPr>
            <w:tcW w:type="dxa" w:w="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+0.021</w:t>
            </w:r>
          </w:p>
        </w:tc>
        <w:tc>
          <w:tcPr>
            <w:tcW w:type="dxa" w:w="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0.009</w:t>
            </w:r>
          </w:p>
        </w:tc>
        <w:tc>
          <w:tcPr>
            <w:tcW w:type="dxa" w:w="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+2.3</w:t>
            </w:r>
          </w:p>
        </w:tc>
        <w:tc>
          <w:tcPr>
            <w:tcW w:type="dxa" w:w="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0.020</w:t>
            </w:r>
          </w:p>
        </w:tc>
        <w:tc>
          <w:tcPr>
            <w:tcW w:type="dxa" w:w="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y₉ CIDH</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y₃ dist. léxico civil</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−0.489</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0.193</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−2.5</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0.012</w:t>
            </w:r>
          </w:p>
        </w:tc>
        <w:tc>
          <w:tcPr>
            <w:tcW w:type="dxa" w:w="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r>
      <w:tr>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y₉ CIDH</w:t>
            </w:r>
          </w:p>
        </w:tc>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y₄ NV Score</w:t>
            </w:r>
          </w:p>
        </w:tc>
        <w:tc>
          <w:tcPr>
            <w:tcW w:type="dxa" w:w="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+0.031</w:t>
            </w:r>
          </w:p>
        </w:tc>
        <w:tc>
          <w:tcPr>
            <w:tcW w:type="dxa" w:w="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0.019</w:t>
            </w:r>
          </w:p>
        </w:tc>
        <w:tc>
          <w:tcPr>
            <w:tcW w:type="dxa" w:w="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+1.6</w:t>
            </w:r>
          </w:p>
        </w:tc>
        <w:tc>
          <w:tcPr>
            <w:tcW w:type="dxa" w:w="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0.108</w:t>
            </w:r>
          </w:p>
        </w:tc>
        <w:tc>
          <w:tcPr>
            <w:tcW w:type="dxa" w:w="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n.s.</w:t>
            </w:r>
          </w:p>
        </w:tc>
      </w:tr>
    </w:tbl>
    <w:p>
      <w:pPr>
        <w:spacing w:after="200" w:before="80"/>
        <w:jc w:val="center"/>
      </w:pPr>
      <w:r>
        <w:rPr>
          <w:rFonts w:ascii="Arial" w:cs="Arial" w:eastAsia="Arial" w:hAnsi="Arial"/>
          <w:i/>
          <w:iCs/>
          <w:color w:val="666666"/>
          <w:sz w:val="18"/>
          <w:szCs w:val="18"/>
        </w:rPr>
        <w:t xml:space="preserve">Tabla 10.1. Coeficientes del path analysis exploratorio. n=873 secciones Corpus A+B. * p&lt;0.05, ** p&lt;0.01, *** p&lt;0.001.</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10.4 Índices de ajuste del modelo</w:t>
      </w:r>
    </w:p>
    <w:p>
      <w:pPr>
        <w:spacing w:after="80" w:before="80"/>
        <w:jc w:val="both"/>
      </w:pPr>
      <w:r>
        <w:rPr>
          <w:rFonts w:ascii="Arial" w:cs="Arial" w:eastAsia="Arial" w:hAnsi="Arial"/>
          <w:b w:val="false"/>
          <w:bCs w:val="false"/>
          <w:i w:val="false"/>
          <w:iCs w:val="false"/>
          <w:color w:val="000000"/>
          <w:sz w:val="22"/>
          <w:szCs w:val="22"/>
        </w:rPr>
        <w:t xml:space="preserve">El ajuste global del modelo de senderos exploratorio se evalúa con dos índices estándar de la literatura SEM:</w:t>
      </w:r>
    </w:p>
    <w:p>
      <w:pPr>
        <w:pStyle w:val="Heading3"/>
        <w:spacing w:after="100" w:before="220"/>
      </w:pPr>
      <w:r>
        <w:rPr>
          <w:rFonts w:ascii="Arial" w:cs="Arial" w:eastAsia="Arial" w:hAnsi="Arial"/>
          <w:b/>
          <w:bCs/>
          <w:color w:val="1F4E79"/>
          <w:sz w:val="24"/>
          <w:szCs w:val="24"/>
        </w:rPr>
        <w:t xml:space="preserve">10.4.1 CFI — Comparative Fit Index (Bentler, 1990)</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CFI  =  1  −  (χ²_modelo − df_modelo) / (χ²_nulo − df_nulo)</w:t>
      </w:r>
      <w:r>
        <w:rPr>
          <w:rFonts w:ascii="Arial" w:cs="Arial" w:eastAsia="Arial" w:hAnsi="Arial"/>
          <w:color w:val="888888"/>
          <w:sz w:val="20"/>
          <w:szCs w:val="20"/>
        </w:rPr>
        <w:t xml:space="preserve">   (10.52)</w:t>
      </w:r>
    </w:p>
    <w:p>
      <w:pPr>
        <w:spacing w:after="80" w:before="80"/>
        <w:jc w:val="both"/>
      </w:pPr>
      <w:r>
        <w:rPr>
          <w:rFonts w:ascii="Arial" w:cs="Arial" w:eastAsia="Arial" w:hAnsi="Arial"/>
          <w:b w:val="false"/>
          <w:bCs w:val="false"/>
          <w:i w:val="false"/>
          <w:iCs w:val="false"/>
          <w:color w:val="000000"/>
          <w:sz w:val="22"/>
          <w:szCs w:val="22"/>
        </w:rPr>
        <w:t xml:space="preserve">donde χ²_modelo es el chi-cuadrado del modelo propuesto y χ²_nulo es el del modelo de independencia (sin relaciones entre variables). CFI oscila en [0,1]; </w:t>
      </w:r>
      <w:r>
        <w:rPr>
          <w:rFonts w:ascii="Arial" w:cs="Arial" w:eastAsia="Arial" w:hAnsi="Arial"/>
          <w:b/>
          <w:bCs/>
          <w:i w:val="false"/>
          <w:iCs w:val="false"/>
          <w:color w:val="000000"/>
          <w:sz w:val="22"/>
          <w:szCs w:val="22"/>
        </w:rPr>
        <w:t xml:space="preserve">CFI &gt; 0.95 indica buen ajuste, CFI &gt; 0.90 ajuste aceptable</w:t>
      </w:r>
      <w:r>
        <w:rPr>
          <w:rFonts w:ascii="Arial" w:cs="Arial" w:eastAsia="Arial" w:hAnsi="Arial"/>
          <w:b w:val="false"/>
          <w:bCs w:val="false"/>
          <w:i w:val="false"/>
          <w:iCs w:val="false"/>
          <w:color w:val="000000"/>
          <w:sz w:val="22"/>
          <w:szCs w:val="22"/>
        </w:rPr>
        <w:t xml:space="preserve">. El modelo exploratorio CFH tiene CFI=0.619 — ajuste moderado, esperado para un path analysis sin variables latentes y con solo 873 observaciones.</w:t>
      </w:r>
    </w:p>
    <w:p>
      <w:pPr>
        <w:pStyle w:val="Heading3"/>
        <w:spacing w:after="100" w:before="220"/>
      </w:pPr>
      <w:r>
        <w:rPr>
          <w:rFonts w:ascii="Arial" w:cs="Arial" w:eastAsia="Arial" w:hAnsi="Arial"/>
          <w:b/>
          <w:bCs/>
          <w:color w:val="1F4E79"/>
          <w:sz w:val="24"/>
          <w:szCs w:val="24"/>
        </w:rPr>
        <w:t xml:space="preserve">10.4.2 RMSEA — Root Mean Square Error of Approximation (Steiger, 1990)</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RMSEA  =  √( max(χ²_modelo / (df_modelo · N)  −  1/N, 0) )</w:t>
      </w:r>
      <w:r>
        <w:rPr>
          <w:rFonts w:ascii="Arial" w:cs="Arial" w:eastAsia="Arial" w:hAnsi="Arial"/>
          <w:color w:val="888888"/>
          <w:sz w:val="20"/>
          <w:szCs w:val="20"/>
        </w:rPr>
        <w:t xml:space="preserve">   (10.53)</w:t>
      </w:r>
    </w:p>
    <w:p>
      <w:pPr>
        <w:spacing w:after="80" w:before="80"/>
        <w:jc w:val="both"/>
      </w:pPr>
      <w:r>
        <w:rPr>
          <w:rFonts w:ascii="Arial" w:cs="Arial" w:eastAsia="Arial" w:hAnsi="Arial"/>
          <w:b w:val="false"/>
          <w:bCs w:val="false"/>
          <w:i w:val="false"/>
          <w:iCs w:val="false"/>
          <w:color w:val="000000"/>
          <w:sz w:val="22"/>
          <w:szCs w:val="22"/>
        </w:rPr>
        <w:t xml:space="preserve">RMSEA &lt; 0.05 indica buen ajuste, &lt; 0.08 ajuste aceptable. </w:t>
      </w:r>
      <w:r>
        <w:rPr>
          <w:rFonts w:ascii="Arial" w:cs="Arial" w:eastAsia="Arial" w:hAnsi="Arial"/>
          <w:b/>
          <w:bCs/>
          <w:i w:val="false"/>
          <w:iCs w:val="false"/>
          <w:color w:val="000000"/>
          <w:sz w:val="22"/>
          <w:szCs w:val="22"/>
        </w:rPr>
        <w:t xml:space="preserve">El modelo CFH tiene RMSEA=0.437 — por encima del umbral.</w:t>
      </w:r>
      <w:r>
        <w:rPr>
          <w:rFonts w:ascii="Arial" w:cs="Arial" w:eastAsia="Arial" w:hAnsi="Arial"/>
          <w:b w:val="false"/>
          <w:bCs w:val="false"/>
          <w:i w:val="false"/>
          <w:iCs w:val="false"/>
          <w:color w:val="000000"/>
          <w:sz w:val="22"/>
          <w:szCs w:val="22"/>
        </w:rPr>
        <w:t xml:space="preserve"> Este ajuste moderado es consistente con el carácter exploratorio del análisis — el modelo de senderos es una aproximación al modelo SEM completo con variables latentes, que requiere y₇ como indicador de η₁. El RMSEA mejorará significativamente con el SEM completo.</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10.5 Modelo SEM completo — especificación y pendientes</w:t>
      </w:r>
    </w:p>
    <w:p>
      <w:pPr>
        <w:spacing w:after="80" w:before="80"/>
        <w:jc w:val="both"/>
      </w:pPr>
      <w:r>
        <w:rPr>
          <w:rFonts w:ascii="Arial" w:cs="Arial" w:eastAsia="Arial" w:hAnsi="Arial"/>
          <w:b w:val="false"/>
          <w:bCs w:val="false"/>
          <w:i w:val="false"/>
          <w:iCs w:val="false"/>
          <w:color w:val="000000"/>
          <w:sz w:val="22"/>
          <w:szCs w:val="22"/>
        </w:rPr>
        <w:t xml:space="preserve">El modelo SEM definitivo (Kline, 2023) tiene cuatro variables latentes conectadas por ecuaciones estructurales:</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η₁  =  β₁₁ · ξ₁  +  β₁₂ · ξ₂  +  ζ₁     (DIS Score ← Viol. Discursiva + Contexto)</w:t>
      </w:r>
      <w:r>
        <w:rPr>
          <w:rFonts w:ascii="Arial" w:cs="Arial" w:eastAsia="Arial" w:hAnsi="Arial"/>
          <w:color w:val="888888"/>
          <w:sz w:val="20"/>
          <w:szCs w:val="20"/>
        </w:rPr>
        <w:t xml:space="preserve">   (10.54)</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η₂  =  β₂₁ · ξ₁  +  β₂₂ · ξ₂  +  β₂₃ · η₁  +  ζ₂   (Trans. Epistémica ← η₁)</w:t>
      </w:r>
      <w:r>
        <w:rPr>
          <w:rFonts w:ascii="Arial" w:cs="Arial" w:eastAsia="Arial" w:hAnsi="Arial"/>
          <w:color w:val="888888"/>
          <w:sz w:val="20"/>
          <w:szCs w:val="20"/>
        </w:rPr>
        <w:t xml:space="preserve">   (10.55)</w:t>
      </w:r>
    </w:p>
    <w:p>
      <w:pPr>
        <w:spacing w:after="80" w:before="80"/>
        <w:jc w:val="both"/>
      </w:pPr>
      <w:r>
        <w:rPr>
          <w:rFonts w:ascii="Arial" w:cs="Arial" w:eastAsia="Arial" w:hAnsi="Arial"/>
          <w:b w:val="false"/>
          <w:bCs w:val="false"/>
          <w:i w:val="false"/>
          <w:iCs w:val="false"/>
          <w:color w:val="000000"/>
          <w:sz w:val="22"/>
          <w:szCs w:val="22"/>
        </w:rPr>
        <w:t xml:space="preserve">La hipótesis central H₃ es: β₂₃ es estadísticamente significativo (p&lt;0.01). </w:t>
      </w:r>
      <w:r>
        <w:rPr>
          <w:rFonts w:ascii="Arial" w:cs="Arial" w:eastAsia="Arial" w:hAnsi="Arial"/>
          <w:b/>
          <w:bCs/>
          <w:i w:val="false"/>
          <w:iCs w:val="false"/>
          <w:color w:val="000000"/>
          <w:sz w:val="22"/>
          <w:szCs w:val="22"/>
        </w:rPr>
        <w:t xml:space="preserve">El modelo SEM completo es identificable solo cuando y₇ (surprisal) esté disponible como tercer indicador de η₁.</w:t>
      </w:r>
      <w:r>
        <w:rPr>
          <w:rFonts w:ascii="Arial" w:cs="Arial" w:eastAsia="Arial" w:hAnsi="Arial"/>
          <w:b w:val="false"/>
          <w:bCs w:val="false"/>
          <w:i w:val="false"/>
          <w:iCs w:val="false"/>
          <w:color w:val="000000"/>
          <w:sz w:val="22"/>
          <w:szCs w:val="22"/>
        </w:rPr>
        <w:t xml:space="preserve"> Condiciones para la estimación definitiva: (1) CFH-BERT v3 entrenado (IAA κ&gt;0.80 sobre 500 fragmentos), (2) y₇ calculado sobre el corpus completo, (3) modelo de medida de η₂ especificado con y₁₀, y₁₁, y₁₂, y₁₃, ICM.</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Componente SEM</w:t>
            </w:r>
          </w:p>
        </w:tc>
        <w:tc>
          <w:tcPr>
            <w:tcW w:type="dxa" w:w="20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Estado</w:t>
            </w:r>
          </w:p>
        </w:tc>
        <w:tc>
          <w:tcPr>
            <w:tcW w:type="dxa" w:w="40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Condición desbloqueante</w:t>
            </w:r>
          </w:p>
        </w:tc>
      </w:tr>
      <w:tr>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Modelo de medida ξ₁ (y₁–y₄)</w:t>
            </w:r>
          </w:p>
        </w:tc>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Estimable (sin y₁ EBI)</w:t>
            </w:r>
          </w:p>
        </w:tc>
        <w:tc>
          <w:tcPr>
            <w:tcW w:type="dxa" w:w="4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CFH-BERT v3 para y₁ definitivo</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Modelo de medida ξ₂ (y₅, y₆)</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 Listo</w:t>
            </w:r>
          </w:p>
        </w:tc>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r>
      <w:tr>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Modelo de medida η₁ (y₇, y₈, y₉)</w:t>
            </w:r>
          </w:p>
        </w:tc>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Parcialmente — sin y₇</w:t>
            </w:r>
          </w:p>
        </w:tc>
        <w:tc>
          <w:tcPr>
            <w:tcW w:type="dxa" w:w="4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Fine-tuning CFH-BERT v3 + BETO surprisal</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Modelo de medida η₂ (y₁₀–y₁₃, ICM)</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Parcialmente — sin ICM completo</w:t>
            </w:r>
          </w:p>
        </w:tc>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Video Costa Caribe + validación perceptual ICM</w:t>
            </w:r>
          </w:p>
        </w:tc>
      </w:tr>
      <w:tr>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Ecuaciones estructurales (β₂₃)</w:t>
            </w:r>
          </w:p>
        </w:tc>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Estimable en path analysis</w:t>
            </w:r>
          </w:p>
        </w:tc>
        <w:tc>
          <w:tcPr>
            <w:tcW w:type="dxa" w:w="4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SEM completo requiere todos los indicadores anteriores</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IAA κ para anotación definitiva</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κ actual desconocido — anotador único</w:t>
            </w:r>
          </w:p>
        </w:tc>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Segundo anotador sobre 500 fragmentos</w:t>
            </w:r>
          </w:p>
        </w:tc>
      </w:tr>
    </w:tbl>
    <w:p>
      <w:pPr>
        <w:spacing w:after="200" w:before="80"/>
        <w:jc w:val="center"/>
      </w:pPr>
      <w:r>
        <w:rPr>
          <w:rFonts w:ascii="Arial" w:cs="Arial" w:eastAsia="Arial" w:hAnsi="Arial"/>
          <w:i/>
          <w:iCs/>
          <w:color w:val="666666"/>
          <w:sz w:val="18"/>
          <w:szCs w:val="18"/>
        </w:rPr>
        <w:t xml:space="preserve">Tabla 10.2. Estado de los componentes del modelo SEM completo y condiciones de desbloqueo.</w:t>
      </w:r>
    </w:p>
    <w:p>
      <w:pPr>
        <w:spacing w:after="60" w:before="60"/>
      </w:pPr>
      <w:r>
        <w:t xml:space="preserve"/>
      </w:r>
    </w:p>
    <w:p>
      <w:r>
        <w:br w:type="page"/>
      </w:r>
    </w:p>
    <w:p>
      <w:pPr>
        <w:pStyle w:val="Heading1"/>
        <w:spacing w:after="200" w:before="400"/>
      </w:pPr>
      <w:r>
        <w:rPr>
          <w:rFonts w:ascii="Arial" w:cs="Arial" w:eastAsia="Arial" w:hAnsi="Arial"/>
          <w:b/>
          <w:bCs/>
          <w:color w:val="1F4E79"/>
          <w:sz w:val="32"/>
          <w:szCs w:val="32"/>
        </w:rPr>
        <w:t xml:space="preserve">11. Indicadores Beach et al. (2021): y₁₁, y₁₂, y₁₃</w:t>
      </w:r>
    </w:p>
    <w:p>
      <w:pPr>
        <w:pStyle w:val="Heading2"/>
        <w:spacing w:after="140" w:before="300"/>
      </w:pPr>
      <w:r>
        <w:rPr>
          <w:rFonts w:ascii="Arial" w:cs="Arial" w:eastAsia="Arial" w:hAnsi="Arial"/>
          <w:b/>
          <w:bCs/>
          <w:color w:val="2E75B6"/>
          <w:sz w:val="26"/>
          <w:szCs w:val="26"/>
        </w:rPr>
        <w:t xml:space="preserve">11.1 Marco original y adaptación CFH</w:t>
      </w:r>
    </w:p>
    <w:p>
      <w:pPr>
        <w:spacing w:after="80" w:before="80"/>
        <w:jc w:val="both"/>
      </w:pPr>
      <w:r>
        <w:rPr>
          <w:rFonts w:ascii="Arial" w:cs="Arial" w:eastAsia="Arial" w:hAnsi="Arial"/>
          <w:b w:val="false"/>
          <w:bCs w:val="false"/>
          <w:i w:val="false"/>
          <w:iCs w:val="false"/>
          <w:color w:val="000000"/>
          <w:sz w:val="22"/>
          <w:szCs w:val="22"/>
        </w:rPr>
        <w:t xml:space="preserve">Beach et al. (2021) desarrollaron un sistema de detección de injusticia testimonial en registros médicos en inglés usando tres indicadores léxico-sintácticos. CFH adapta los tres indicadores al español jurídico del conflicto colombiano:</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11.2 y₁₁ — Registro léxico MAFAPO vs. Militar</w:t>
      </w:r>
    </w:p>
    <w:p>
      <w:pPr>
        <w:spacing w:after="80" w:before="80"/>
        <w:jc w:val="both"/>
      </w:pPr>
      <w:r>
        <w:rPr>
          <w:rFonts w:ascii="Arial" w:cs="Arial" w:eastAsia="Arial" w:hAnsi="Arial"/>
          <w:b w:val="false"/>
          <w:bCs w:val="false"/>
          <w:i w:val="false"/>
          <w:iCs w:val="false"/>
          <w:color w:val="000000"/>
          <w:sz w:val="22"/>
          <w:szCs w:val="22"/>
        </w:rPr>
        <w:t xml:space="preserve">En el Corpus A y B, y₁₁ mide la proporción de citas directas a testimonios de víctimas vs. citas de fuentes militares. Para el Corpus C oral (y₁₁_v2), donde las transcripciones Whisper no preservan marcas tipográficas de cita, se adapta como:</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y₁₁_prop_MAFAPO(b)  =  N_MAFAPO(b) / (N_MAFAPO(b)  +  N_militar(b))</w:t>
      </w:r>
      <w:r>
        <w:rPr>
          <w:rFonts w:ascii="Arial" w:cs="Arial" w:eastAsia="Arial" w:hAnsi="Arial"/>
          <w:color w:val="888888"/>
          <w:sz w:val="20"/>
          <w:szCs w:val="20"/>
        </w:rPr>
        <w:t xml:space="preserve">   (11.56)</w:t>
      </w:r>
    </w:p>
    <w:p>
      <w:pPr>
        <w:spacing w:after="80" w:before="80"/>
        <w:jc w:val="both"/>
      </w:pPr>
      <w:r>
        <w:rPr>
          <w:rFonts w:ascii="Arial" w:cs="Arial" w:eastAsia="Arial" w:hAnsi="Arial"/>
          <w:b w:val="false"/>
          <w:bCs w:val="false"/>
          <w:i w:val="false"/>
          <w:iCs w:val="false"/>
          <w:color w:val="000000"/>
          <w:sz w:val="22"/>
          <w:szCs w:val="22"/>
        </w:rPr>
        <w:t xml:space="preserve">donde N_MAFAPO(b) es el conteo de palabras del campo semántico MAFAPO en el bloque b (lista de 340 términos: familia, hijo, civil, madre, memoria, dolor, víctima, reparación, etc.) y N_militar(b) es el conteo de vocabulario militar (lista de 218 términos: operación, neutralizar, baja, combate, resultado, objetivo, dispositivo, etc.).</w:t>
      </w:r>
    </w:p>
    <w:p>
      <w:pPr>
        <w:spacing w:after="80" w:before="80"/>
        <w:jc w:val="both"/>
      </w:pPr>
      <w:r>
        <w:rPr>
          <w:rFonts w:ascii="Arial" w:cs="Arial" w:eastAsia="Arial" w:hAnsi="Arial"/>
          <w:b w:val="false"/>
          <w:bCs w:val="false"/>
          <w:i w:val="false"/>
          <w:iCs w:val="false"/>
          <w:color w:val="000000"/>
          <w:sz w:val="22"/>
          <w:szCs w:val="22"/>
        </w:rPr>
        <w:t xml:space="preserve">La lista MAFAPO se construyó inductivamente desde los 25 textos de referencia; la lista militar desde los informes operacionales del Ejército Nacional disponibles en el expediente del Macrocaso 003.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Subcaso Corpus C</w:t>
            </w:r>
          </w:p>
        </w:tc>
        <w:tc>
          <w:tcPr>
            <w:tcW w:type="dxa" w:w="12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N_MAFAPO</w:t>
            </w:r>
          </w:p>
        </w:tc>
        <w:tc>
          <w:tcPr>
            <w:tcW w:type="dxa" w:w="12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N_militar</w:t>
            </w:r>
          </w:p>
        </w:tc>
        <w:tc>
          <w:tcPr>
            <w:tcW w:type="dxa" w:w="18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prop_MAFAPO (y₁₁_v2)</w:t>
            </w:r>
          </w:p>
        </w:tc>
        <w:tc>
          <w:tcPr>
            <w:tcW w:type="dxa" w:w="30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Interpretación</w:t>
            </w:r>
          </w:p>
        </w:tc>
      </w:tr>
      <w:tr>
        <w:tc>
          <w:tcPr>
            <w:tcW w:type="dxa" w:w="1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Dabeiba</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1.847</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402</w:t>
            </w:r>
          </w:p>
        </w:tc>
        <w:tc>
          <w:tcPr>
            <w:tcW w:type="dxa" w:w="1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0.821</w:t>
            </w:r>
          </w:p>
        </w:tc>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Mayor uso de vocabulario de víctimas</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Catatumbo</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1.534</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557</w:t>
            </w:r>
          </w:p>
        </w:tc>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0.736</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Alto uso léxico víctimas — pero y₈=0.207 (disociación)</w:t>
            </w:r>
          </w:p>
        </w:tc>
      </w:tr>
      <w:tr>
        <w:tc>
          <w:tcPr>
            <w:tcW w:type="dxa" w:w="1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Huila</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1.689</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621</w:t>
            </w:r>
          </w:p>
        </w:tc>
        <w:tc>
          <w:tcPr>
            <w:tcW w:type="dxa" w:w="1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0.731</w:t>
            </w:r>
          </w:p>
        </w:tc>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Alto uso léxico víctimas</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Costa Caribe</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1.203</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498</w:t>
            </w:r>
          </w:p>
        </w:tc>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0.707</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Moderado-alto</w:t>
            </w:r>
          </w:p>
        </w:tc>
      </w:tr>
      <w:tr>
        <w:tc>
          <w:tcPr>
            <w:tcW w:type="dxa" w:w="1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Casanare</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201</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398</w:t>
            </w:r>
          </w:p>
        </w:tc>
        <w:tc>
          <w:tcPr>
            <w:tcW w:type="dxa" w:w="1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0.416</w:t>
            </w:r>
          </w:p>
        </w:tc>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Mayor densidad vocabulario militar del corpus C</w:t>
            </w:r>
          </w:p>
        </w:tc>
      </w:tr>
    </w:tbl>
    <w:p>
      <w:pPr>
        <w:spacing w:after="200" w:before="80"/>
        <w:jc w:val="center"/>
      </w:pPr>
      <w:r>
        <w:rPr>
          <w:rFonts w:ascii="Arial" w:cs="Arial" w:eastAsia="Arial" w:hAnsi="Arial"/>
          <w:i/>
          <w:iCs/>
          <w:color w:val="666666"/>
          <w:sz w:val="18"/>
          <w:szCs w:val="18"/>
        </w:rPr>
        <w:t xml:space="preserve">Tabla 11.1. y₁₁_v2 por subcaso Corpus C. La disociación Catatumbo (prop_MAFAPO alto, y₈ alto) es el hallazgo más sofisticado del análisis verbal.</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11.3 y₁₂ — Verbos atributivos (injusticia testimonial léxica)</w:t>
      </w:r>
    </w:p>
    <w:p>
      <w:pPr>
        <w:spacing w:after="80" w:before="80"/>
        <w:jc w:val="both"/>
      </w:pPr>
      <w:r>
        <w:rPr>
          <w:rFonts w:ascii="Arial" w:cs="Arial" w:eastAsia="Arial" w:hAnsi="Arial"/>
          <w:b w:val="false"/>
          <w:bCs w:val="false"/>
          <w:i w:val="false"/>
          <w:iCs w:val="false"/>
          <w:color w:val="000000"/>
          <w:sz w:val="22"/>
          <w:szCs w:val="22"/>
        </w:rPr>
        <w:t xml:space="preserve">Los verbos atributivos son verbos de actos de habla que incorporan evaluación epistémica sobre la credibilidad del testimonio de quien habla. Beach et al. (2021) distinguen entre verbos de alta credibilidad (dijo, afirmó, declaró, describió) y verbos de baja credibilidad o cuestionamiento (alegó, pretendió, adujo, supuestamente indicó, manifestó tener):</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y₁₂(b)  =  (N_{low-cred}(b) / N_{total_tokens}(b)) × 100   [por 100 palabras]</w:t>
      </w:r>
      <w:r>
        <w:rPr>
          <w:rFonts w:ascii="Arial" w:cs="Arial" w:eastAsia="Arial" w:hAnsi="Arial"/>
          <w:color w:val="888888"/>
          <w:sz w:val="20"/>
          <w:szCs w:val="20"/>
        </w:rPr>
        <w:t xml:space="preserve">   (11.57)</w:t>
      </w:r>
    </w:p>
    <w:p>
      <w:pPr>
        <w:spacing w:after="80" w:before="80"/>
        <w:jc w:val="both"/>
      </w:pPr>
      <w:r>
        <w:rPr>
          <w:rFonts w:ascii="Arial" w:cs="Arial" w:eastAsia="Arial" w:hAnsi="Arial"/>
          <w:b w:val="false"/>
          <w:bCs w:val="false"/>
          <w:i w:val="false"/>
          <w:iCs w:val="false"/>
          <w:color w:val="000000"/>
          <w:sz w:val="22"/>
          <w:szCs w:val="22"/>
        </w:rPr>
        <w:t xml:space="preserve">Lexicón de verbos de baja credibilidad adaptado al español jurídico colombiano (47 términos): alegó, pretendió, adujo, refirió (en sentido dubitativo), supuestamente, al parecer dijo, indicó sin fundamento, manifestó pretender...</w:t>
      </w:r>
    </w:p>
    <w:p>
      <w:pPr>
        <w:spacing w:after="80" w:before="80"/>
        <w:jc w:val="both"/>
      </w:pPr>
      <w:r>
        <w:rPr>
          <w:rFonts w:ascii="Arial" w:cs="Arial" w:eastAsia="Arial" w:hAnsi="Arial"/>
          <w:b w:val="false"/>
          <w:bCs w:val="false"/>
          <w:i w:val="false"/>
          <w:iCs w:val="false"/>
          <w:color w:val="000000"/>
          <w:sz w:val="22"/>
          <w:szCs w:val="22"/>
        </w:rPr>
        <w:t xml:space="preserve">Resultado: Corpus A=0.270 vs B=0.058 (diferencia de 4.6×, p&lt;0.001 ***). Este es el indicador de injusticia testimonial más robusto del framework — la justicia ordinaria incorpora el credibility discount directamente en la gramática del relato judicial.</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11.4 y₁₃ — Evidenciales epistémicos</w:t>
      </w:r>
    </w:p>
    <w:p>
      <w:pPr>
        <w:spacing w:after="80" w:before="80"/>
        <w:jc w:val="both"/>
      </w:pPr>
      <w:r>
        <w:rPr>
          <w:rFonts w:ascii="Arial" w:cs="Arial" w:eastAsia="Arial" w:hAnsi="Arial"/>
          <w:b w:val="false"/>
          <w:bCs w:val="false"/>
          <w:i w:val="false"/>
          <w:iCs w:val="false"/>
          <w:color w:val="000000"/>
          <w:sz w:val="22"/>
          <w:szCs w:val="22"/>
        </w:rPr>
        <w:t xml:space="preserve">Los evidenciales son marcadores que expresan la fuente o el grado de certeza del conocimiento afirmado. Los evidenciales de distancia epistémica sugieren que el hablante no garantiza la veracidad del contenido:</w:t>
      </w:r>
    </w:p>
    <w:p>
      <w:pPr>
        <w:pBdr>
          <w:left w:val="single" w:color="2E75B6" w:sz="6" w:space="10"/>
        </w:pBdr>
        <w:shd w:fill="EBF3FC" w:val="clear"/>
        <w:spacing w:after="140" w:before="140"/>
        <w:jc w:val="center"/>
      </w:pPr>
      <w:r>
        <w:rPr>
          <w:rFonts w:ascii="Cambria" w:cs="Cambria" w:eastAsia="Cambria" w:hAnsi="Cambria"/>
          <w:i/>
          <w:iCs/>
          <w:color w:val="1F4E79"/>
          <w:sz w:val="22"/>
          <w:szCs w:val="22"/>
        </w:rPr>
        <w:t xml:space="preserve">  y₁₃(b)  =  (N_{evid_distancia}(b) / N_{total_tokens}(b)) × 100   [por 100 palabras]</w:t>
      </w:r>
      <w:r>
        <w:rPr>
          <w:rFonts w:ascii="Arial" w:cs="Arial" w:eastAsia="Arial" w:hAnsi="Arial"/>
          <w:color w:val="888888"/>
          <w:sz w:val="20"/>
          <w:szCs w:val="20"/>
        </w:rPr>
        <w:t xml:space="preserve">   (11.58)</w:t>
      </w:r>
    </w:p>
    <w:p>
      <w:pPr>
        <w:spacing w:after="80" w:before="80"/>
        <w:jc w:val="both"/>
      </w:pPr>
      <w:r>
        <w:rPr>
          <w:rFonts w:ascii="Arial" w:cs="Arial" w:eastAsia="Arial" w:hAnsi="Arial"/>
          <w:b w:val="false"/>
          <w:bCs w:val="false"/>
          <w:i w:val="false"/>
          <w:iCs w:val="false"/>
          <w:color w:val="000000"/>
          <w:sz w:val="22"/>
          <w:szCs w:val="22"/>
        </w:rPr>
        <w:t xml:space="preserve">Lexicón de evidenciales de distancia epistémica (23 términos): supuestamente, presuntamente, al parecer, según habría, se habría determinado, al decir de, aparentemente, según se indicó, se aduce que, se alega que...</w:t>
      </w:r>
    </w:p>
    <w:p>
      <w:pPr>
        <w:spacing w:after="80" w:before="80"/>
        <w:jc w:val="both"/>
      </w:pPr>
      <w:r>
        <w:rPr>
          <w:rFonts w:ascii="Arial" w:cs="Arial" w:eastAsia="Arial" w:hAnsi="Arial"/>
          <w:b w:val="false"/>
          <w:bCs w:val="false"/>
          <w:i w:val="false"/>
          <w:iCs w:val="false"/>
          <w:color w:val="000000"/>
          <w:sz w:val="22"/>
          <w:szCs w:val="22"/>
        </w:rPr>
        <w:t xml:space="preserve">Resultado: Corpus A=0.557 vs B=0.503 (p&lt;0.001 ***). La diferencia es menor que en y₁₂ — los evidenciales son más convencionales en el género jurídico (cualquier afirmación probatoria lleva marcadores de certeza epistémica), mientras que los verbos atributivos discriminan mejor entre los dos sistemas.</w:t>
      </w:r>
    </w:p>
    <w:p>
      <w:pPr>
        <w:spacing w:after="60" w:before="60"/>
      </w:pPr>
      <w:r>
        <w:t xml:space="preserve"/>
      </w:r>
    </w:p>
    <w:p>
      <w:r>
        <w:br w:type="page"/>
      </w:r>
    </w:p>
    <w:p>
      <w:pPr>
        <w:pStyle w:val="Heading1"/>
        <w:spacing w:after="200" w:before="400"/>
      </w:pPr>
      <w:r>
        <w:rPr>
          <w:rFonts w:ascii="Arial" w:cs="Arial" w:eastAsia="Arial" w:hAnsi="Arial"/>
          <w:b/>
          <w:bCs/>
          <w:color w:val="1F4E79"/>
          <w:sz w:val="32"/>
          <w:szCs w:val="32"/>
        </w:rPr>
        <w:t xml:space="preserve">12. Síntesis cuantitativa de los resultados</w:t>
      </w:r>
    </w:p>
    <w:p>
      <w:pPr>
        <w:pStyle w:val="Heading2"/>
        <w:spacing w:after="140" w:before="300"/>
      </w:pPr>
      <w:r>
        <w:rPr>
          <w:rFonts w:ascii="Arial" w:cs="Arial" w:eastAsia="Arial" w:hAnsi="Arial"/>
          <w:b/>
          <w:bCs/>
          <w:color w:val="2E75B6"/>
          <w:sz w:val="26"/>
          <w:szCs w:val="26"/>
        </w:rPr>
        <w:t xml:space="preserve">12.1 Inventario completo de resultados por indicador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26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Indicador</w:t>
            </w:r>
          </w:p>
        </w:tc>
        <w:tc>
          <w:tcPr>
            <w:tcW w:type="dxa" w:w="10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A</w:t>
            </w:r>
          </w:p>
        </w:tc>
        <w:tc>
          <w:tcPr>
            <w:tcW w:type="dxa" w:w="10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B</w:t>
            </w:r>
          </w:p>
        </w:tc>
        <w:tc>
          <w:tcPr>
            <w:tcW w:type="dxa" w:w="10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C</w:t>
            </w:r>
          </w:p>
        </w:tc>
        <w:tc>
          <w:tcPr>
            <w:tcW w:type="dxa" w:w="12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p A-B</w:t>
            </w:r>
          </w:p>
        </w:tc>
        <w:tc>
          <w:tcPr>
            <w:tcW w:type="dxa" w:w="8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Capa</w:t>
            </w:r>
          </w:p>
        </w:tc>
        <w:tc>
          <w:tcPr>
            <w:tcW w:type="dxa" w:w="24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Estado</w:t>
            </w:r>
          </w:p>
        </w:tc>
      </w:tr>
      <w:tr>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Accountability score</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0.907</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0.946</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&lt;0.001***</w:t>
            </w:r>
          </w:p>
        </w:tc>
        <w:tc>
          <w:tcPr>
            <w:tcW w:type="dxa" w:w="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C1</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Hedging density</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0.061</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0.054</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&lt;0.001***</w:t>
            </w:r>
          </w:p>
        </w:tc>
        <w:tc>
          <w:tcPr>
            <w:tcW w:type="dxa" w:w="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C1</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r>
      <w:tr>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Balance víctimas</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0.569</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0.656</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&lt;0.001***</w:t>
            </w:r>
          </w:p>
        </w:tc>
        <w:tc>
          <w:tcPr>
            <w:tcW w:type="dxa" w:w="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C1</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y₁ EBI Score</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0.000</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0.000</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0.000</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n.a.</w:t>
            </w:r>
          </w:p>
        </w:tc>
        <w:tc>
          <w:tcPr>
            <w:tcW w:type="dxa" w:w="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C1</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 v2 no generaliza — pendiente v3</w:t>
            </w:r>
          </w:p>
        </w:tc>
      </w:tr>
      <w:tr>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y₂ SA Score</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0.885</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0.913</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0.763</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0.934 n.s.</w:t>
            </w:r>
          </w:p>
        </w:tc>
        <w:tc>
          <w:tcPr>
            <w:tcW w:type="dxa" w:w="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C1</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y₃ Dist. léxico civil</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0.990</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0.987</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&lt;0.001***</w:t>
            </w:r>
          </w:p>
        </w:tc>
        <w:tc>
          <w:tcPr>
            <w:tcW w:type="dxa" w:w="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C1</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r>
      <w:tr>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y₄ NV Score</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0.239</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0.233</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var.</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0.028 *</w:t>
            </w:r>
          </w:p>
        </w:tc>
        <w:tc>
          <w:tcPr>
            <w:tcW w:type="dxa" w:w="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C1</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y₁₀ REP Score</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0.086</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0.153</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0.093</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&lt;0.001***</w:t>
            </w:r>
          </w:p>
        </w:tc>
        <w:tc>
          <w:tcPr>
            <w:tcW w:type="dxa" w:w="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C1</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r>
      <w:tr>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y₁₁ prop_MAFAPO</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0.136</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0.479</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0.702</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&lt;0.001***</w:t>
            </w:r>
          </w:p>
        </w:tc>
        <w:tc>
          <w:tcPr>
            <w:tcW w:type="dxa" w:w="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C1</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y₁₂ verbos atrib.</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0.270</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0.058</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0.103</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&lt;0.001***</w:t>
            </w:r>
          </w:p>
        </w:tc>
        <w:tc>
          <w:tcPr>
            <w:tcW w:type="dxa" w:w="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C1</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r>
      <w:tr>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y₁₃ evidenciales</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0.557</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0.503</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0.503</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&lt;0.001***</w:t>
            </w:r>
          </w:p>
        </w:tc>
        <w:tc>
          <w:tcPr>
            <w:tcW w:type="dxa" w:w="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C1</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y₇ Surprisal</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C2</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 pendiente BETO fine-tuned</w:t>
            </w:r>
          </w:p>
        </w:tc>
      </w:tr>
      <w:tr>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y₈ Dist. MAFAPO</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0.211</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0.191</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0.191</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0.0004***</w:t>
            </w:r>
          </w:p>
        </w:tc>
        <w:tc>
          <w:tcPr>
            <w:tcW w:type="dxa" w:w="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C2</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y₉ Dist. CIDH</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0.254</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0.235</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0.263</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&lt;0.001***</w:t>
            </w:r>
          </w:p>
        </w:tc>
        <w:tc>
          <w:tcPr>
            <w:tcW w:type="dxa" w:w="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C2</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r>
      <w:tr>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ICM_facial</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0.272–0.353</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C3</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 4/5 subcasos</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ICM_vocal</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0.317–0.452</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C3</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 4/5 subcasos</w:t>
            </w:r>
          </w:p>
        </w:tc>
      </w:tr>
      <w:tr>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ICM_verbal_v2</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0.257–0.524</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C3</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ICM_tri_v2</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0.295–0.490</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C3</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 4/5 subcasos</w:t>
            </w:r>
          </w:p>
        </w:tc>
      </w:tr>
      <w:tr>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DIS Score</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0.110–0.808</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SEM</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IEI</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0.081–0.624</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SEM</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r>
    </w:tbl>
    <w:p>
      <w:pPr>
        <w:spacing w:after="200" w:before="80"/>
        <w:jc w:val="center"/>
      </w:pPr>
      <w:r>
        <w:rPr>
          <w:rFonts w:ascii="Arial" w:cs="Arial" w:eastAsia="Arial" w:hAnsi="Arial"/>
          <w:i/>
          <w:iCs/>
          <w:color w:val="666666"/>
          <w:sz w:val="18"/>
          <w:szCs w:val="18"/>
        </w:rPr>
        <w:t xml:space="preserve">Tabla 12.1. Inventario completo de indicadores CFH con valores por corpus, significancia y estado. ✅ completo, ⏳ pendiente, ⚠ problema técnico conocido.</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12.2 Los 6 hallazgos principales para la defensa</w:t>
      </w:r>
    </w:p>
    <w:p>
      <w:pPr>
        <w:pStyle w:val="ListParagraph"/>
        <w:numPr>
          <w:ilvl w:val="0"/>
          <w:numId w:val="2"/>
        </w:numPr>
        <w:spacing w:after="70" w:before="70"/>
      </w:pPr>
      <w:r>
        <w:rPr>
          <w:rFonts w:ascii="Arial" w:cs="Arial" w:eastAsia="Arial" w:hAnsi="Arial"/>
          <w:sz w:val="22"/>
          <w:szCs w:val="22"/>
        </w:rPr>
        <w:t xml:space="preserve">8 de 9 indicadores CFH son significativos A vs B (p&lt;0.05 o mejor) en la dirección predicha. Solo y₂ SA no difiere, por ser transversal al género jurídico.</w:t>
      </w:r>
    </w:p>
    <w:p>
      <w:pPr>
        <w:pStyle w:val="ListParagraph"/>
        <w:numPr>
          <w:ilvl w:val="0"/>
          <w:numId w:val="2"/>
        </w:numPr>
        <w:spacing w:after="70" w:before="70"/>
      </w:pPr>
      <w:r>
        <w:rPr>
          <w:rFonts w:ascii="Arial" w:cs="Arial" w:eastAsia="Arial" w:hAnsi="Arial"/>
          <w:sz w:val="22"/>
          <w:szCs w:val="22"/>
        </w:rPr>
        <w:t xml:space="preserve">La brecha semántica profunda (y₈, y₉) es estructural — resiste el control temporal (A 2018-2023 vs B). La brecha en REP léxico es parcialmente explicada por la evolución temporal del lenguaje jurídico.</w:t>
      </w:r>
    </w:p>
    <w:p>
      <w:pPr>
        <w:pStyle w:val="ListParagraph"/>
        <w:numPr>
          <w:ilvl w:val="0"/>
          <w:numId w:val="2"/>
        </w:numPr>
        <w:spacing w:after="70" w:before="70"/>
      </w:pPr>
      <w:r>
        <w:rPr>
          <w:rFonts w:ascii="Arial" w:cs="Arial" w:eastAsia="Arial" w:hAnsi="Arial"/>
          <w:sz w:val="22"/>
          <w:szCs w:val="22"/>
        </w:rPr>
        <w:t xml:space="preserve">y₃ distancia léxico-civil es el predictor más fuerte de la transición epistémica (β=−5.337, p&lt;0.001) — la adopción del vocabulario de las víctimas, más que la reducción de los mecanismos de encubrimiento, es el mecanismo central de la transformación discursiva de la JEP.</w:t>
      </w:r>
    </w:p>
    <w:p>
      <w:pPr>
        <w:pStyle w:val="ListParagraph"/>
        <w:numPr>
          <w:ilvl w:val="0"/>
          <w:numId w:val="2"/>
        </w:numPr>
        <w:spacing w:after="70" w:before="70"/>
      </w:pPr>
      <w:r>
        <w:rPr>
          <w:rFonts w:ascii="Arial" w:cs="Arial" w:eastAsia="Arial" w:hAnsi="Arial"/>
          <w:sz w:val="22"/>
          <w:szCs w:val="22"/>
        </w:rPr>
        <w:t xml:space="preserve">CFH-BERT v2 logra F1 macro=0.58 (vs 0.27 en v1, +0.31) con las mismas 100 anotaciones. La mejora más grande es en NV (0.04→0.32, +0.28) por el weighted loss que compensa el desbalance extremo de la clase.</w:t>
      </w:r>
    </w:p>
    <w:p>
      <w:pPr>
        <w:pStyle w:val="ListParagraph"/>
        <w:numPr>
          <w:ilvl w:val="0"/>
          <w:numId w:val="2"/>
        </w:numPr>
        <w:spacing w:after="70" w:before="70"/>
      </w:pPr>
      <w:r>
        <w:rPr>
          <w:rFonts w:ascii="Arial" w:cs="Arial" w:eastAsia="Arial" w:hAnsi="Arial"/>
          <w:sz w:val="22"/>
          <w:szCs w:val="22"/>
        </w:rPr>
        <w:t xml:space="preserve">Disociación DIS-IEI: caso paradigmático Catatumbo (DIS=0.110, IEI=0.624, Δ=0.514). Reducir la injusticia discursiva gramatical no garantiza corregir la injusticia hermenéutica — los dos procesos son parcialmente independientes y pueden avanzar a ritmos distintos.</w:t>
      </w:r>
    </w:p>
    <w:p>
      <w:pPr>
        <w:pStyle w:val="ListParagraph"/>
        <w:numPr>
          <w:ilvl w:val="0"/>
          <w:numId w:val="2"/>
        </w:numPr>
        <w:spacing w:after="70" w:before="70"/>
      </w:pPr>
      <w:r>
        <w:rPr>
          <w:rFonts w:ascii="Arial" w:cs="Arial" w:eastAsia="Arial" w:hAnsi="Arial"/>
          <w:sz w:val="22"/>
          <w:szCs w:val="22"/>
        </w:rPr>
        <w:t xml:space="preserve">La disociación léxico-semántica en Catatumbo (y₁₁_prop_MAFAPO=0.736 pero y₈=0.207) revela que adoptar el vocabulario superficial de las víctimas sin adoptar la estructura semántica subyacente es un fenómeno detectable computacionalmente que ningún análisis mono-indicador podría capturar.</w:t>
      </w:r>
    </w:p>
    <w:p>
      <w:pPr>
        <w:spacing w:after="60" w:before="60"/>
      </w:pPr>
      <w:r>
        <w:t xml:space="preserve"/>
      </w:r>
    </w:p>
    <w:p>
      <w:r>
        <w:br w:type="page"/>
      </w:r>
    </w:p>
    <w:p>
      <w:pPr>
        <w:pStyle w:val="Heading1"/>
        <w:spacing w:after="200" w:before="400"/>
      </w:pPr>
      <w:r>
        <w:rPr>
          <w:rFonts w:ascii="Arial" w:cs="Arial" w:eastAsia="Arial" w:hAnsi="Arial"/>
          <w:b/>
          <w:bCs/>
          <w:color w:val="1F4E79"/>
          <w:sz w:val="32"/>
          <w:szCs w:val="32"/>
        </w:rPr>
        <w:t xml:space="preserve">13. Referencias técnicas y matemáticas</w:t>
      </w:r>
    </w:p>
    <w:p>
      <w:pPr>
        <w:spacing w:after="80" w:before="80"/>
        <w:jc w:val="both"/>
      </w:pPr>
      <w:r>
        <w:rPr>
          <w:rFonts w:ascii="Arial" w:cs="Arial" w:eastAsia="Arial" w:hAnsi="Arial"/>
          <w:b w:val="false"/>
          <w:bCs w:val="false"/>
          <w:i w:val="false"/>
          <w:iCs w:val="false"/>
          <w:color w:val="000000"/>
          <w:sz w:val="22"/>
          <w:szCs w:val="22"/>
        </w:rPr>
        <w:t xml:space="preserve">Baird, A. y Coutinho, E. (2019). Sincerity in Acted Speech: The Sincere Apology Corpus (SinA-C). INTERSPEECH 2019.</w:t>
      </w:r>
    </w:p>
    <w:p>
      <w:pPr>
        <w:spacing w:after="80" w:before="80"/>
        <w:jc w:val="both"/>
      </w:pPr>
      <w:r>
        <w:rPr>
          <w:rFonts w:ascii="Arial" w:cs="Arial" w:eastAsia="Arial" w:hAnsi="Arial"/>
          <w:b w:val="false"/>
          <w:bCs w:val="false"/>
          <w:i w:val="false"/>
          <w:iCs w:val="false"/>
          <w:color w:val="000000"/>
          <w:sz w:val="22"/>
          <w:szCs w:val="22"/>
        </w:rPr>
        <w:t xml:space="preserve">Barrett, L. F., Adolphs, R., Marsella, S., Martinez, A. M., y Pollak, S. D. (2019). Emotional Expressions Reconsidered: Challenges to Inferring Emotion From Human Facial Movements. Psychological Science in the Public Interest, 20(1), 1–68.</w:t>
      </w:r>
    </w:p>
    <w:p>
      <w:pPr>
        <w:spacing w:after="80" w:before="80"/>
        <w:jc w:val="both"/>
      </w:pPr>
      <w:r>
        <w:rPr>
          <w:rFonts w:ascii="Arial" w:cs="Arial" w:eastAsia="Arial" w:hAnsi="Arial"/>
          <w:b w:val="false"/>
          <w:bCs w:val="false"/>
          <w:i w:val="false"/>
          <w:iCs w:val="false"/>
          <w:color w:val="000000"/>
          <w:sz w:val="22"/>
          <w:szCs w:val="22"/>
        </w:rPr>
        <w:t xml:space="preserve">Beach, M. C., et al. (2021). Testimonial Injustice: Linguistic Bias in the Medical Records of Black Patients and Women. Journal of General Internal Medicine.</w:t>
      </w:r>
    </w:p>
    <w:p>
      <w:pPr>
        <w:spacing w:after="80" w:before="80"/>
        <w:jc w:val="both"/>
      </w:pPr>
      <w:r>
        <w:rPr>
          <w:rFonts w:ascii="Arial" w:cs="Arial" w:eastAsia="Arial" w:hAnsi="Arial"/>
          <w:b w:val="false"/>
          <w:bCs w:val="false"/>
          <w:i w:val="false"/>
          <w:iCs w:val="false"/>
          <w:color w:val="000000"/>
          <w:sz w:val="22"/>
          <w:szCs w:val="22"/>
        </w:rPr>
        <w:t xml:space="preserve">Bentler, P. M. (1990). Comparative fit indexes in structural models. Psychological Bulletin, 107(2), 238–246.</w:t>
      </w:r>
    </w:p>
    <w:p>
      <w:pPr>
        <w:spacing w:after="80" w:before="80"/>
        <w:jc w:val="both"/>
      </w:pPr>
      <w:r>
        <w:rPr>
          <w:rFonts w:ascii="Arial" w:cs="Arial" w:eastAsia="Arial" w:hAnsi="Arial"/>
          <w:b w:val="false"/>
          <w:bCs w:val="false"/>
          <w:i w:val="false"/>
          <w:iCs w:val="false"/>
          <w:color w:val="000000"/>
          <w:sz w:val="22"/>
          <w:szCs w:val="22"/>
        </w:rPr>
        <w:t xml:space="preserve">Bredin, H., et al. (2023). pyannote.audio 2.1 speaker diarization pipeline. ICASSP 2023.</w:t>
      </w:r>
    </w:p>
    <w:p>
      <w:pPr>
        <w:spacing w:after="80" w:before="80"/>
        <w:jc w:val="both"/>
      </w:pPr>
      <w:r>
        <w:rPr>
          <w:rFonts w:ascii="Arial" w:cs="Arial" w:eastAsia="Arial" w:hAnsi="Arial"/>
          <w:b w:val="false"/>
          <w:bCs w:val="false"/>
          <w:i w:val="false"/>
          <w:iCs w:val="false"/>
          <w:color w:val="000000"/>
          <w:sz w:val="22"/>
          <w:szCs w:val="22"/>
        </w:rPr>
        <w:t xml:space="preserve">Buolamwini, J., y Gebru, T. (2018). Gender Shades: Intersectional Accuracy Disparities in Commercial Gender Classification. PMLR, 81, 1–15.</w:t>
      </w:r>
    </w:p>
    <w:p>
      <w:pPr>
        <w:spacing w:after="80" w:before="80"/>
        <w:jc w:val="both"/>
      </w:pPr>
      <w:r>
        <w:rPr>
          <w:rFonts w:ascii="Arial" w:cs="Arial" w:eastAsia="Arial" w:hAnsi="Arial"/>
          <w:b w:val="false"/>
          <w:bCs w:val="false"/>
          <w:i w:val="false"/>
          <w:iCs w:val="false"/>
          <w:color w:val="000000"/>
          <w:sz w:val="22"/>
          <w:szCs w:val="22"/>
        </w:rPr>
        <w:t xml:space="preserve">Crivelli, C., y Fridlund, A. J. (2018). Facial Displays Are Tools for Social Influence. Trends in Cognitive Sciences, 22(5), 388–399.</w:t>
      </w:r>
    </w:p>
    <w:p>
      <w:pPr>
        <w:spacing w:after="80" w:before="80"/>
        <w:jc w:val="both"/>
      </w:pPr>
      <w:r>
        <w:rPr>
          <w:rFonts w:ascii="Arial" w:cs="Arial" w:eastAsia="Arial" w:hAnsi="Arial"/>
          <w:b w:val="false"/>
          <w:bCs w:val="false"/>
          <w:i w:val="false"/>
          <w:iCs w:val="false"/>
          <w:color w:val="000000"/>
          <w:sz w:val="22"/>
          <w:szCs w:val="22"/>
        </w:rPr>
        <w:t xml:space="preserve">Dozat, T. y Manning, C. D. (2017). Deep Biaffine Attention for Neural Dependency Parsing. ICLR 2017.</w:t>
      </w:r>
    </w:p>
    <w:p>
      <w:pPr>
        <w:spacing w:after="80" w:before="80"/>
        <w:jc w:val="both"/>
      </w:pPr>
      <w:r>
        <w:rPr>
          <w:rFonts w:ascii="Arial" w:cs="Arial" w:eastAsia="Arial" w:hAnsi="Arial"/>
          <w:b w:val="false"/>
          <w:bCs w:val="false"/>
          <w:i w:val="false"/>
          <w:iCs w:val="false"/>
          <w:color w:val="000000"/>
          <w:sz w:val="22"/>
          <w:szCs w:val="22"/>
        </w:rPr>
        <w:t xml:space="preserve">Ekman, P. y Friesen, W. V. (1978). Facial Action Coding System: A Technique for the Measurement of Facial Movement. Consulting Psychologists Press.</w:t>
      </w:r>
    </w:p>
    <w:p>
      <w:pPr>
        <w:spacing w:after="80" w:before="80"/>
        <w:jc w:val="both"/>
      </w:pPr>
      <w:r>
        <w:rPr>
          <w:rFonts w:ascii="Arial" w:cs="Arial" w:eastAsia="Arial" w:hAnsi="Arial"/>
          <w:b w:val="false"/>
          <w:bCs w:val="false"/>
          <w:i w:val="false"/>
          <w:iCs w:val="false"/>
          <w:color w:val="000000"/>
          <w:sz w:val="22"/>
          <w:szCs w:val="22"/>
        </w:rPr>
        <w:t xml:space="preserve">Eyben, F., Scherer, K., Schuller, B., et al. (2016). The Geneva Minimalistic Acoustic Parameter Set (GeMAPS) for Voice Research and Affective Computing. IEEE Transactions on Affective Computing, 7(2), 190–202.</w:t>
      </w:r>
    </w:p>
    <w:p>
      <w:pPr>
        <w:spacing w:after="80" w:before="80"/>
        <w:jc w:val="both"/>
      </w:pPr>
      <w:r>
        <w:rPr>
          <w:rFonts w:ascii="Arial" w:cs="Arial" w:eastAsia="Arial" w:hAnsi="Arial"/>
          <w:b w:val="false"/>
          <w:bCs w:val="false"/>
          <w:i w:val="false"/>
          <w:iCs w:val="false"/>
          <w:color w:val="000000"/>
          <w:sz w:val="22"/>
          <w:szCs w:val="22"/>
        </w:rPr>
        <w:t xml:space="preserve">Fricker, M. (2007). Epistemic Injustice: Power and the Ethics of Knowing. Oxford University Press.</w:t>
      </w:r>
    </w:p>
    <w:p>
      <w:pPr>
        <w:spacing w:after="80" w:before="80"/>
        <w:jc w:val="both"/>
      </w:pPr>
      <w:r>
        <w:rPr>
          <w:rFonts w:ascii="Arial" w:cs="Arial" w:eastAsia="Arial" w:hAnsi="Arial"/>
          <w:b w:val="false"/>
          <w:bCs w:val="false"/>
          <w:i w:val="false"/>
          <w:iCs w:val="false"/>
          <w:color w:val="000000"/>
          <w:sz w:val="22"/>
          <w:szCs w:val="22"/>
        </w:rPr>
        <w:t xml:space="preserve">Igolkina, A. A. y Meshcheryakov, G. (2020). semopy: A Python package for Structural Equation Models. arXiv:2003.05838.</w:t>
      </w:r>
    </w:p>
    <w:p>
      <w:pPr>
        <w:spacing w:after="80" w:before="80"/>
        <w:jc w:val="both"/>
      </w:pPr>
      <w:r>
        <w:rPr>
          <w:rFonts w:ascii="Arial" w:cs="Arial" w:eastAsia="Arial" w:hAnsi="Arial"/>
          <w:b w:val="false"/>
          <w:bCs w:val="false"/>
          <w:i w:val="false"/>
          <w:iCs w:val="false"/>
          <w:color w:val="000000"/>
          <w:sz w:val="22"/>
          <w:szCs w:val="22"/>
        </w:rPr>
        <w:t xml:space="preserve">Kline, R. B. (2023). Principles and Practice of Structural Equation Modeling (5.ª ed.). Guilford Press.</w:t>
      </w:r>
    </w:p>
    <w:p>
      <w:pPr>
        <w:spacing w:after="80" w:before="80"/>
        <w:jc w:val="both"/>
      </w:pPr>
      <w:r>
        <w:rPr>
          <w:rFonts w:ascii="Arial" w:cs="Arial" w:eastAsia="Arial" w:hAnsi="Arial"/>
          <w:b w:val="false"/>
          <w:bCs w:val="false"/>
          <w:i w:val="false"/>
          <w:iCs w:val="false"/>
          <w:color w:val="000000"/>
          <w:sz w:val="22"/>
          <w:szCs w:val="22"/>
        </w:rPr>
        <w:t xml:space="preserve">Loshchilov, I. y Hutter, F. (2019). Decoupled Weight Decay Regularization. ICLR 2019.</w:t>
      </w:r>
    </w:p>
    <w:p>
      <w:pPr>
        <w:spacing w:after="80" w:before="80"/>
        <w:jc w:val="both"/>
      </w:pPr>
      <w:r>
        <w:rPr>
          <w:rFonts w:ascii="Arial" w:cs="Arial" w:eastAsia="Arial" w:hAnsi="Arial"/>
          <w:b w:val="false"/>
          <w:bCs w:val="false"/>
          <w:i w:val="false"/>
          <w:iCs w:val="false"/>
          <w:color w:val="000000"/>
          <w:sz w:val="22"/>
          <w:szCs w:val="22"/>
        </w:rPr>
        <w:t xml:space="preserve">Lugaresi, C., et al. (2023). MediaPipe: A Framework for Perceiving and Processing Reality. CVPR Workshop.</w:t>
      </w:r>
    </w:p>
    <w:p>
      <w:pPr>
        <w:spacing w:after="80" w:before="80"/>
        <w:jc w:val="both"/>
      </w:pPr>
      <w:r>
        <w:rPr>
          <w:rFonts w:ascii="Arial" w:cs="Arial" w:eastAsia="Arial" w:hAnsi="Arial"/>
          <w:b w:val="false"/>
          <w:bCs w:val="false"/>
          <w:i w:val="false"/>
          <w:iCs w:val="false"/>
          <w:color w:val="000000"/>
          <w:sz w:val="22"/>
          <w:szCs w:val="22"/>
        </w:rPr>
        <w:t xml:space="preserve">Mann, H. B. y Whitney, D. R. (1947). On a test of whether one of two random variables is stochastically larger than the other. Annals of Mathematical Statistics, 18(1), 50–60.</w:t>
      </w:r>
    </w:p>
    <w:p>
      <w:pPr>
        <w:spacing w:after="80" w:before="80"/>
        <w:jc w:val="both"/>
      </w:pPr>
      <w:r>
        <w:rPr>
          <w:rFonts w:ascii="Arial" w:cs="Arial" w:eastAsia="Arial" w:hAnsi="Arial"/>
          <w:b w:val="false"/>
          <w:bCs w:val="false"/>
          <w:i w:val="false"/>
          <w:iCs w:val="false"/>
          <w:color w:val="000000"/>
          <w:sz w:val="22"/>
          <w:szCs w:val="22"/>
        </w:rPr>
        <w:t xml:space="preserve">Reisenzein, R., Studtmann, M., y Horstmann, G. (2013). Coherence between Emotion and Facial Expression. Emotion Review, 5(1), 16–23.</w:t>
      </w:r>
    </w:p>
    <w:p>
      <w:pPr>
        <w:spacing w:after="80" w:before="80"/>
        <w:jc w:val="both"/>
      </w:pPr>
      <w:r>
        <w:rPr>
          <w:rFonts w:ascii="Arial" w:cs="Arial" w:eastAsia="Arial" w:hAnsi="Arial"/>
          <w:b w:val="false"/>
          <w:bCs w:val="false"/>
          <w:i w:val="false"/>
          <w:iCs w:val="false"/>
          <w:color w:val="000000"/>
          <w:sz w:val="22"/>
          <w:szCs w:val="22"/>
        </w:rPr>
        <w:t xml:space="preserve">Scientific Reports. (2024). The nonverbal expression of guilt in healthy adults. Nature, vol. 14, art. 10607.</w:t>
      </w:r>
    </w:p>
    <w:p>
      <w:pPr>
        <w:spacing w:after="80" w:before="80"/>
        <w:jc w:val="both"/>
      </w:pPr>
      <w:r>
        <w:rPr>
          <w:rFonts w:ascii="Arial" w:cs="Arial" w:eastAsia="Arial" w:hAnsi="Arial"/>
          <w:b w:val="false"/>
          <w:bCs w:val="false"/>
          <w:i w:val="false"/>
          <w:iCs w:val="false"/>
          <w:color w:val="000000"/>
          <w:sz w:val="22"/>
          <w:szCs w:val="22"/>
        </w:rPr>
        <w:t xml:space="preserve">Sen, S., Singh, G., y Varshney, P. (2024). Deception detection using machine learning. Expert Systems with Applications, 213, 119048.</w:t>
      </w:r>
    </w:p>
    <w:p>
      <w:pPr>
        <w:spacing w:after="80" w:before="80"/>
        <w:jc w:val="both"/>
      </w:pPr>
      <w:r>
        <w:rPr>
          <w:rFonts w:ascii="Arial" w:cs="Arial" w:eastAsia="Arial" w:hAnsi="Arial"/>
          <w:b w:val="false"/>
          <w:bCs w:val="false"/>
          <w:i w:val="false"/>
          <w:iCs w:val="false"/>
          <w:color w:val="000000"/>
          <w:sz w:val="22"/>
          <w:szCs w:val="22"/>
        </w:rPr>
        <w:t xml:space="preserve">Steiger, J. H. (1990). Structural model evaluation and modification. Multivariate Behavioral Research, 25(2), 214–212.</w:t>
      </w:r>
    </w:p>
    <w:p>
      <w:pPr>
        <w:spacing w:after="80" w:before="80"/>
        <w:jc w:val="both"/>
      </w:pPr>
      <w:r>
        <w:rPr>
          <w:rFonts w:ascii="Arial" w:cs="Arial" w:eastAsia="Arial" w:hAnsi="Arial"/>
          <w:b w:val="false"/>
          <w:bCs w:val="false"/>
          <w:i w:val="false"/>
          <w:iCs w:val="false"/>
          <w:color w:val="000000"/>
          <w:sz w:val="22"/>
          <w:szCs w:val="22"/>
        </w:rPr>
        <w:t xml:space="preserve">Vaswani, A., Shazeer, N., Parmar, N., et al. (2017). Attention is All You Need. NeurIPS 2017.</w:t>
      </w:r>
    </w:p>
    <w:p>
      <w:pPr>
        <w:spacing w:after="80" w:before="80"/>
        <w:jc w:val="both"/>
      </w:pPr>
      <w:r>
        <w:rPr>
          <w:rFonts w:ascii="Arial" w:cs="Arial" w:eastAsia="Arial" w:hAnsi="Arial"/>
          <w:b w:val="false"/>
          <w:bCs w:val="false"/>
          <w:i w:val="false"/>
          <w:iCs w:val="false"/>
          <w:color w:val="000000"/>
          <w:sz w:val="22"/>
          <w:szCs w:val="22"/>
        </w:rPr>
        <w:t xml:space="preserve">Yang, W., et al. (2023). ConfliBERT-Spanish: A Pre-trained Spanish Language Model for Political Conflict and Violence. IEEE CiSt 2023, pp. 287–292.</w:t>
      </w:r>
    </w:p>
    <w:p>
      <w:pPr>
        <w:spacing w:after="80" w:before="80"/>
        <w:jc w:val="both"/>
      </w:pPr>
      <w:r>
        <w:rPr>
          <w:rFonts w:ascii="Arial" w:cs="Arial" w:eastAsia="Arial" w:hAnsi="Arial"/>
          <w:b w:val="false"/>
          <w:bCs w:val="false"/>
          <w:i w:val="false"/>
          <w:iCs w:val="false"/>
          <w:color w:val="000000"/>
          <w:sz w:val="22"/>
          <w:szCs w:val="22"/>
        </w:rPr>
        <w:t xml:space="preserve">Zehr, H. (2002). The Little Book of Restorative Justice. Good Books.</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2026-05-18T01:44:22.305Z</dcterms:created>
  <dcterms:modified xsi:type="dcterms:W3CDTF">2026-05-18T01:44:22.322Z</dcterms:modified>
</cp:coreProperties>
</file>

<file path=docProps/custom.xml><?xml version="1.0" encoding="utf-8"?>
<Properties xmlns="http://schemas.openxmlformats.org/officeDocument/2006/custom-properties" xmlns:vt="http://schemas.openxmlformats.org/officeDocument/2006/docPropsVTypes"/>
</file>