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presenta alta o baja congruencia multimodal entre canales.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General, subcaso Casanare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General, subcaso Casanare)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MediaPipe FaceLandmarker. </w:t>
      </w:r>
      <w:r>
        <w:rPr>
          <w:rFonts w:ascii="Times New Roman" w:cs="Times New Roman" w:eastAsia="Times New Roman" w:hAnsi="Times New Roman"/>
          <w:color w:val="000000"/>
          <w:sz w:val="24"/>
          <w:szCs w:val="24"/>
        </w:rPr>
        <w:t xml:space="preserve">MediaPipe FaceLandmarker v0.10 (Lugaresi et al., 2023) extrae 52 blendshapes faciales por frame en modo IMAGE. Por segmento diarizado se muestrean hasta 20 frames y se calcula la media de cada blendshape. Los 6 blendshapes más relevantes para el ICM se mapean a Action Units FACS: AU1 (browInnerUp — angustia interna), AU4 (browDownLeft — ceño fruncido), AU6 (eyeSquintLeft — sonrisa Duchenne), AU12 (mouthSmileLeft — comisura labial), AU15 (mouthFrownLeft — tristeza), AU17 (mouthShrugLower — duda). La tasa de detección facial varía por audiencia (86% Casanare, 55% Catatumbo, 25% Dabeiba, 20% Huila) según el ángulo y distancia de la cámara — limitación metodológica reportada explícitamente.</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más performativo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más genuino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MediaPipe FaceLandmarker. ICM facial = distress/(distress+sonrisa). Mayor ICM score = reconocimiento más genuino.</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extractor eGeMAPS (Eyben et al., 2016) producirá 88 features acústicas por segmento: F0, jitter, shimmer, alpha ratio, speech rate, duración de pausas. Los marcadores más relevantes para el ICM vocal son shimmer (quiebre de voz) y pausas largas (carga cognitiva). Completado de integración en el pipeline de Capa 3.</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 verbal (ConfliBERT REP score), vocal (eGeMAPS pendiente), facial (MediaPipe AUs) — en un índice de genuinidad. La versión implementada calcula ICM facial = distress_medio / (distress_medio + sonrisa_media), donde distress_medio = (AU1 + AU4 + AU15) / 3. Valores más altos indican mayor congruencia entre el reconocimiento verbal y la expresión facial de distress — reconocimiento genuino. Valores más bajos indican dominancia de la sonrisa — reconocimiento performativo.</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producía la normalización min-max dentro del Corpus C.</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y₃ Civil</w:t>
            </w:r>
          </w:p>
        </w:tc>
        <w:tc>
          <w:tcPr>
            <w:shd w:val="clear" w:color="auto" w:fill="FFFFFF"/>
          </w:tcPr>
          <w:p>
            <w:pPr>
              <w:spacing w:before="40" w:after="40"/>
            </w:pPr>
            <w:r>
              <w:rPr>
                <w:sz w:val="15"/>
              </w:rPr>
              <w:t xml:space="preserve">Dist. léxico civil</w:t>
            </w:r>
          </w:p>
        </w:tc>
        <w:tc>
          <w:tcPr>
            <w:shd w:val="clear" w:color="auto" w:fill="FFFFFF"/>
          </w:tcPr>
          <w:p>
            <w:pPr>
              <w:spacing w:before="40" w:after="40"/>
            </w:pPr>
            <w:r>
              <w:rPr>
                <w:sz w:val="15"/>
              </w:rPr>
              <w:t xml:space="preserve">VSM TF-IDF+coseno</w:t>
            </w:r>
          </w:p>
        </w:tc>
        <w:tc>
          <w:tcPr>
            <w:shd w:val="clear" w:color="auto" w:fill="FFFFFF"/>
          </w:tcPr>
          <w:p>
            <w:pPr>
              <w:spacing w:before="40" w:after="40"/>
            </w:pPr>
            <w:r>
              <w:rPr>
                <w:sz w:val="15"/>
              </w:rPr>
              <w:t xml:space="preserve">Similitud vectorial</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Sin parámetros. Lexicón 1,247 términos.</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 xml:space="preserve">y₇ Surprisal</w:t>
            </w:r>
          </w:p>
        </w:tc>
        <w:tc>
          <w:tcPr>
            <w:shd w:val="clear" w:color="auto" w:fill="FFFFFF"/>
          </w:tcPr>
          <w:p>
            <w:pPr>
              <w:spacing w:before="40" w:after="40"/>
            </w:pPr>
            <w:r>
              <w:rPr>
                <w:sz w:val="15"/>
              </w:rPr>
              <w:t xml:space="preserve">Infrecuencia léxica</w:t>
            </w:r>
          </w:p>
        </w:tc>
        <w:tc>
          <w:tcPr>
            <w:shd w:val="clear" w:color="auto" w:fill="FFFFFF"/>
          </w:tcPr>
          <w:p>
            <w:pPr>
              <w:spacing w:before="40" w:after="40"/>
            </w:pPr>
            <w:r>
              <w:rPr>
                <w:sz w:val="15"/>
              </w:rPr>
              <w:t xml:space="preserve">LM encoder BETO</w:t>
            </w:r>
          </w:p>
        </w:tc>
        <w:tc>
          <w:tcPr>
            <w:shd w:val="clear" w:color="auto" w:fill="FFFFFF"/>
          </w:tcPr>
          <w:p>
            <w:pPr>
              <w:spacing w:before="40" w:after="40"/>
            </w:pPr>
            <w:r>
              <w:rPr>
                <w:sz w:val="15"/>
              </w:rPr>
              <w:t xml:space="preserve">Log-prob P(t|ctx)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Bidireccional obligatorio. Pendiente v3.</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A-B=0.570***. Centroide 25 textos MAFAPO.</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Domina DIS_v2 (w=0.705).</w:t>
            </w:r>
          </w:p>
        </w:tc>
      </w:tr>
      <w:tr>
        <w:tc>
          <w:tcPr>
            <w:shd w:val="clear" w:color="auto" w:fill="EBF3FB"/>
          </w:tcPr>
          <w:p>
            <w:pPr>
              <w:spacing w:before="40" w:after="40"/>
            </w:pPr>
            <w:r>
              <w:rPr>
                <w:sz w:val="15"/>
              </w:rPr>
              <w:t xml:space="preserve">DIS_v1</w:t>
            </w:r>
          </w:p>
        </w:tc>
        <w:tc>
          <w:tcPr>
            <w:shd w:val="clear" w:color="auto" w:fill="EBF3FB"/>
          </w:tcPr>
          <w:p>
            <w:pPr>
              <w:spacing w:before="40" w:after="40"/>
            </w:pPr>
            <w:r>
              <w:rPr>
                <w:sz w:val="15"/>
              </w:rPr>
              <w:t xml:space="preserve">Inj. Disc. (Corpus C)</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Corpus C</w:t>
            </w:r>
          </w:p>
        </w:tc>
        <w:tc>
          <w:tcPr>
            <w:shd w:val="clear" w:color="auto" w:fill="EBF3FB"/>
          </w:tcPr>
          <w:p>
            <w:pPr>
              <w:spacing w:before="40" w:after="40"/>
            </w:pPr>
            <w:r>
              <w:rPr>
                <w:sz w:val="15"/>
              </w:rPr>
              <w:t xml:space="preserve">min-max Corpus C</w:t>
            </w:r>
          </w:p>
        </w:tc>
        <w:tc>
          <w:tcPr>
            <w:shd w:val="clear" w:color="auto" w:fill="EBF3FB"/>
          </w:tcPr>
          <w:p>
            <w:pPr>
              <w:spacing w:before="40" w:after="40"/>
            </w:pPr>
            <w:r>
              <w:rPr>
                <w:sz w:val="15"/>
              </w:rPr>
              <w:t xml:space="preserve">Pesos teóricos Habermas+Galtung. Parsim. 89%.</w:t>
            </w:r>
          </w:p>
        </w:tc>
      </w:tr>
      <w:tr>
        <w:tc>
          <w:tcPr>
            <w:shd w:val="clear" w:color="auto" w:fill="EBF3FB"/>
          </w:tcPr>
          <w:p>
            <w:pPr>
              <w:spacing w:before="40" w:after="40"/>
            </w:pPr>
            <w:r>
              <w:rPr>
                <w:sz w:val="15"/>
              </w:rPr>
              <w:t xml:space="preserve">DIS_v2</w:t>
            </w:r>
          </w:p>
        </w:tc>
        <w:tc>
          <w:tcPr>
            <w:shd w:val="clear" w:color="auto" w:fill="EBF3FB"/>
          </w:tcPr>
          <w:p>
            <w:pPr>
              <w:spacing w:before="40" w:after="40"/>
            </w:pPr>
            <w:r>
              <w:rPr>
                <w:sz w:val="15"/>
              </w:rPr>
              <w:t xml:space="preserve">Inj. Disc. (A vs B)</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 vs B</w:t>
            </w:r>
          </w:p>
        </w:tc>
        <w:tc>
          <w:tcPr>
            <w:shd w:val="clear" w:color="auto" w:fill="EBF3FB"/>
          </w:tcPr>
          <w:p>
            <w:pPr>
              <w:spacing w:before="40" w:after="40"/>
            </w:pPr>
            <w:r>
              <w:rPr>
                <w:sz w:val="15"/>
              </w:rPr>
              <w:t xml:space="preserve">z-score A+B→sig</w:t>
            </w:r>
          </w:p>
        </w:tc>
        <w:tc>
          <w:tcPr>
            <w:shd w:val="clear" w:color="auto" w:fill="EBF3FB"/>
          </w:tcPr>
          <w:p>
            <w:pPr>
              <w:spacing w:before="40" w:after="40"/>
            </w:pPr>
            <w:r>
              <w:rPr>
                <w:sz w:val="15"/>
              </w:rPr>
              <w:t xml:space="preserve">Pesos empíricos d Cohen. d=0.481 p=0.0003.</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d A-B=0.715***. Parsim. 90%.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exploratorio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 xml:space="preserve">Nota. IO = Inside-Outside (sequence labeling). VSM = Vector Space Model. LM = Language Model. sig = sigmoid. z-score+sigmoid elimina valores extremos 0/1. DIS_v1 = versión principal (Corpus C). DIS_v2 = versión alternativa (A vs B). Normalización A+B+C = distribución conjunta de 1,420 bloques. Nivel Corpus C = distribución oral conjunta (vocal 1,351 seg; facial 2,822 frames; verbal 547 bloques). Indicadores marcados con Pendiente v3 requieren κ&gt;0.80 del protocolo IAA.</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Nota de estado (junio 2026): </w:t>
            </w:r>
            <w:r>
              <w:rPr>
                <w:rFonts w:ascii="Times New Roman" w:cs="Times New Roman" w:eastAsia="Times New Roman" w:hAnsi="Times New Roman"/>
                <w:i/>
                <w:iCs/>
                <w:color w:val="92400E"/>
                <w:sz w:val="22"/>
                <w:szCs w:val="22"/>
              </w:rPr>
              <w:t xml:space="preserve">eGeMAPS OpenSMILE canal vocal completado (10.897 ventanas, 4 subcasos). ICM tri-canal ponderado calculado e integrado (§5.11). Canal facial Costa Caribe no procesado por restricciones DRM en video fuente; análisis textual completado. SEM completo pendiente de y₇ surprisal e IAA κ&gt;0.80.</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mediante el criterio de Baird y Coutinho (2019): correlación entre el ICM calculado y la percepción de sinceridad de jueces humanos sobre una muestra de segmentos del Corpus C.</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 on Computer Vision for Augmented and Virtual Reality.</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2026-04-15T00:35:08.378Z</dcterms:created>
  <dcterms:modified xsi:type="dcterms:W3CDTF">2026-04-15T00:35:08.379Z</dcterms:modified>
</cp:coreProperties>
</file>

<file path=docProps/custom.xml><?xml version="1.0" encoding="utf-8"?>
<Properties xmlns="http://schemas.openxmlformats.org/officeDocument/2006/custom-properties" xmlns:vt="http://schemas.openxmlformats.org/officeDocument/2006/docPropsVTypes"/>
</file>