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before="480"/>
        <w:outlineLvl w:val="0"/>
      </w:pPr>
      <w:r>
        <w:rPr>
          <w:rFonts w:ascii="Times New Roman" w:cs="Times New Roman" w:eastAsia="Times New Roman" w:hAnsi="Times New Roman"/>
          <w:b/>
          <w:bCs/>
          <w:color w:val="0D2137"/>
          <w:sz w:val="28"/>
          <w:szCs w:val="28"/>
        </w:rPr>
        <w:t xml:space="preserve">5. Resultados</w:t>
      </w:r>
    </w:p>
    <w:p>
      <w:pPr>
        <w:spacing w:after="200" w:line="360" w:lineRule="auto"/>
        <w:ind w:firstLine="720"/>
        <w:jc w:val="both"/>
      </w:pPr>
      <w:r>
        <w:rPr>
          <w:rFonts w:ascii="Times New Roman" w:cs="Times New Roman" w:eastAsia="Times New Roman" w:hAnsi="Times New Roman"/>
          <w:color w:val="000000"/>
          <w:sz w:val="24"/>
          <w:szCs w:val="24"/>
        </w:rPr>
        <w:t xml:space="preserve">Este capítulo presenta los resultados del análisis cuantitativo del corpus CFH organizados en tres capas: Capa 1 léxica (indicadores de violencia discursiva, accountability, hedging y léxico emocional), Capa 2 semántica (distancias MAFAPO/CIDH, REP Score, control temporal y análisis de senderos), y Capa 3 multimodal (diarización del Corpus C — en proceso). Los resultados de CFH-BERT v2 se presentan en §5.5.</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5.1 Descripción del corpus procesado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1200"/>
        <w:gridCol w:w="1400"/>
        <w:gridCol w:w="4026"/>
      </w:tblGrid>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Corpus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Docs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Período</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Fuente</w:t>
            </w:r>
          </w:p>
        </w:tc>
      </w:tr>
      <w:tr>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~200</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520</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1994–2021</w:t>
            </w:r>
          </w:p>
        </w:tc>
        <w:tc>
          <w:tcPr>
            <w:tcW w:type="dxa" w:w="40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Consejo de Estado — reparación directa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A-CSJ</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299</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2012–2020</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Corte Suprema Sala Penal — casación</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B-JEP</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2021–2024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Autos y resoluciones SRVR — Macrocaso 003 (≥200 ✓)</w:t>
            </w:r>
          </w:p>
        </w:tc>
      </w:tr>
      <w:tr>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C-JEP oral</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588</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2022–2024</w:t>
            </w:r>
          </w:p>
        </w:tc>
        <w:tc>
          <w:tcPr>
            <w:tcW w:type="dxa" w:w="40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Audiencias JEP — 45.9h | 1.17M chars</w:t>
            </w:r>
          </w:p>
        </w:tc>
      </w:tr>
      <w:tr>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300+</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4.085+</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1994–2024</w:t>
            </w:r>
          </w:p>
        </w:tc>
        <w:tc>
          <w:tcPr>
            <w:tcW w:type="dxa" w:w="40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FFFFFF"/>
                <w:sz w:val="20"/>
                <w:szCs w:val="20"/>
              </w:rPr>
              <w:t xml:space="preserve">A + B escrito + C oral</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 Corpus CFH — descripción por subsistema.</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5.2 Capa 1 — Indicadores léxicos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5.2.1 Accountability y persona gramatical</w:t>
      </w:r>
    </w:p>
    <w:p>
      <w:pPr>
        <w:spacing w:after="200" w:line="360" w:lineRule="auto"/>
        <w:ind w:firstLine="720"/>
        <w:jc w:val="both"/>
      </w:pPr>
      <w:r>
        <w:rPr>
          <w:rFonts w:ascii="Times New Roman" w:cs="Times New Roman" w:eastAsia="Times New Roman" w:hAnsi="Times New Roman"/>
          <w:color w:val="000000"/>
          <w:sz w:val="24"/>
          <w:szCs w:val="24"/>
        </w:rPr>
        <w:t xml:space="preserve">El accountability_score — ratio de construcciones de primera persona activa vs. pasivas/impersonales — es significativamente mayor en el Corpus B (B=0.946, A=0.907). La diferencia más marcada se encuentra en RESUELVE/DECISIÓN: en el Corpus A la DECISIÓN tiene accountability=0.864, mientras que en el Corpus B el RESUELVE alcanza 0.942. La JEP produce decisiones con mayor densidad de lenguaje que atribuye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5.2.2 Hedging — evasión epistémica</w:t>
      </w:r>
    </w:p>
    <w:p>
      <w:pPr>
        <w:spacing w:after="200" w:line="360" w:lineRule="auto"/>
        <w:ind w:firstLine="720"/>
        <w:jc w:val="both"/>
      </w:pPr>
      <w:r>
        <w:rPr>
          <w:rFonts w:ascii="Times New Roman" w:cs="Times New Roman" w:eastAsia="Times New Roman" w:hAnsi="Times New Roman"/>
          <w:color w:val="000000"/>
          <w:sz w:val="24"/>
          <w:szCs w:val="24"/>
        </w:rPr>
        <w:t xml:space="preserve">El hedging_density — marcadores de evasión epistémica por 100 palabras — es A=0.061 vs B=0.054. Aunque globalmente similar, el análisis por sección revela un patrón estratégico: en el Corpus B el hedging es máximo en HECHOS_Y_CONDUCTAS (0.132) y mínimo en RECONOCIMIENTO (0.082). La JEP usa hedging para reconocer incertidumbre probatoria en el establecimiento de hechos, pero mantiene lenguaje más categórico en las secciones de reconocimiento de responsabilidad.</w:t>
      </w:r>
    </w:p>
    <w:p>
      <w:pPr>
        <w:pStyle w:val="Heading3"/>
        <w:spacing w:after="140" w:before="280"/>
        <w:outlineLvl w:val="2"/>
      </w:pPr>
      <w:r>
        <w:rPr>
          <w:rFonts w:ascii="Times New Roman" w:cs="Times New Roman" w:eastAsia="Times New Roman" w:hAnsi="Times New Roman"/>
          <w:b/>
          <w:bCs/>
          <w:i/>
          <w:iCs/>
          <w:color w:val="000000"/>
          <w:sz w:val="24"/>
          <w:szCs w:val="24"/>
        </w:rPr>
        <w:t xml:space="preserve">5.2.3 Léxico emocional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500"/>
        <w:gridCol w:w="2726"/>
      </w:tblGrid>
      <w:tr>
        <w:tc>
          <w:tcPr>
            <w:tcW w:type="dxa" w:w="26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Dimensión emocional</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c>
          <w:tcPr>
            <w:tcW w:type="dxa" w:w="27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 CFH</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Culpa / responsabilidad</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0.275</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JEP nombra más la responsabilidad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Tristeza / sufrimiento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0.455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0.315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describe el sufrimiento; B lo procesa</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confrontacional; B restaurativo</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Confianza / derecho / garantía</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1.887</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1.121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w:t>
            </w:r>
          </w:p>
        </w:tc>
        <w:tc>
          <w:tcPr>
            <w:tcW w:type="dxa" w:w="2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invoca principios jurídicos genéricos</w:t>
            </w:r>
          </w:p>
        </w:tc>
      </w:tr>
      <w:tr>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Violencia institucional (eufemismos)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0.071</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A &gt; B ✓</w:t>
            </w:r>
          </w:p>
        </w:tc>
        <w:tc>
          <w:tcPr>
            <w:tcW w:type="dxa" w:w="27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usa más eufemismos militares</w:t>
            </w:r>
          </w:p>
        </w:tc>
      </w:tr>
      <w:tr>
        <w:tc>
          <w:tcPr>
            <w:tcW w:type="dxa" w:w="26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Balance víctimas (índice compuesto)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0.656</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B &gt; A ✓✓</w:t>
            </w:r>
          </w:p>
        </w:tc>
        <w:tc>
          <w:tcPr>
            <w:tcW w:type="dxa" w:w="27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JEP más orientada al lenguaje de las víctimas</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5.2. Léxico emocional Corpus A vs B — 6 dimensiones. Lexicón NRC adaptado al español judicial.</w:t>
      </w:r>
    </w:p>
    <w:p>
      <w:pPr>
        <w:spacing w:after="200" w:line="360" w:lineRule="auto"/>
        <w:ind w:firstLine="720"/>
        <w:jc w:val="both"/>
      </w:pPr>
      <w:r>
        <w:rPr>
          <w:rFonts w:ascii="Times New Roman" w:cs="Times New Roman" w:eastAsia="Times New Roman" w:hAnsi="Times New Roman"/>
          <w:color w:val="000000"/>
          <w:sz w:val="24"/>
          <w:szCs w:val="24"/>
        </w:rPr>
        <w:t xml:space="preserve">El balance_victimas (B=0.656 vs A=0.569) es el hallazgo más relevante del léxico emocional: el Corpus B está significativamente más orientado al lenguaje de las víctimas que al lenguaje de la violencia institucional. La diferencia más marcada es en ira (A=0.122 vs B=0.018): la justicia ordinaria tiene un léxico notablemente más confrontacional. El léxico de culpa es el único donde B supera a A (0.275 vs 0.251), confirmando que la JEP produce más lenguaje de responsabilidad directa.</w:t>
      </w:r>
    </w:p>
    <w:p>
      <w:pPr>
        <w:pStyle w:val="Heading3"/>
        <w:spacing w:after="140" w:before="280"/>
        <w:outlineLvl w:val="2"/>
      </w:pPr>
      <w:r>
        <w:rPr>
          <w:rFonts w:ascii="Times New Roman" w:cs="Times New Roman" w:eastAsia="Times New Roman" w:hAnsi="Times New Roman"/>
          <w:b/>
          <w:bCs/>
          <w:i/>
          <w:iCs/>
          <w:color w:val="000000"/>
          <w:sz w:val="24"/>
          <w:szCs w:val="24"/>
        </w:rPr>
        <w:t xml:space="preserve">5.2.4 SA Score (y₂) y NV Score (y₄)</w:t>
      </w:r>
    </w:p>
    <w:p>
      <w:pPr>
        <w:spacing w:after="200" w:line="360" w:lineRule="auto"/>
        <w:ind w:firstLine="720"/>
        <w:jc w:val="both"/>
      </w:pPr>
      <w:r>
        <w:rPr>
          <w:rFonts w:ascii="Times New Roman" w:cs="Times New Roman" w:eastAsia="Times New Roman" w:hAnsi="Times New Roman"/>
          <w:color w:val="000000"/>
          <w:sz w:val="24"/>
          <w:szCs w:val="24"/>
        </w:rPr>
        <w:t xml:space="preserve">El SA Score no difiere significativamente entre los dos sistemas (A=0.885, B=0.913, p=0.934 n.s.) — es transversal al lenguaje jurídico-institucional colombiano. El NV Score es ligeramente mayor en el Corpus A (A=0.239, B=0.233, p=0.028 *). La correlación entre NV y REP es r=−0.082 — operan en dimensiones independientes.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5.3 Capa 2 — REP Score (y₁₀)</w:t>
      </w:r>
    </w:p>
    <w:p>
      <w:pPr>
        <w:spacing w:after="200" w:line="360" w:lineRule="auto"/>
        <w:ind w:firstLine="720"/>
        <w:jc w:val="both"/>
      </w:pPr>
      <w:r>
        <w:rPr>
          <w:rFonts w:ascii="Times New Roman" w:cs="Times New Roman" w:eastAsia="Times New Roman" w:hAnsi="Times New Roman"/>
          <w:color w:val="000000"/>
          <w:sz w:val="24"/>
          <w:szCs w:val="24"/>
        </w:rPr>
        <w:t xml:space="preserve">El REP Score del Corpus B (media=0.153) es significativamente mayor que el del Corpus A (media=0.086), con una brecha de +0.067 y p&lt;0.001 (***). La sección RECONOCIMIENTO del Corpus B presenta el REP más alto (media=0.191, máx=0.849). La sección PATRONES_MACROCRIMINALES tiene REP=0.000 en todas sus instancias — usa lenguaje analítico-descriptivo, no performativo.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5.4 Capa 2 — Distancias semánticas y₈ y y₉</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100"/>
        <w:gridCol w:w="1200"/>
        <w:gridCol w:w="1000"/>
        <w:gridCol w:w="11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C</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B</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 A vs C</w:t>
            </w:r>
          </w:p>
        </w:tc>
        <w:tc>
          <w:tcPr>
            <w:tcW w:type="dxa" w:w="11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 (↓=más cercano)</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p&lt;0.001 ***</w:t>
            </w:r>
          </w:p>
        </w:tc>
        <w:tc>
          <w:tcPr>
            <w:tcW w:type="dxa" w:w="11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B=C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 (↓=más cercano)</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B &lt; A &lt; C</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5.3. Distancias semánticas y₈ y y₉ — ConfliBERT-Spanish. *** p&lt;0.001.</w:t>
      </w:r>
    </w:p>
    <w:p>
      <w:pPr>
        <w:spacing w:after="200" w:line="360" w:lineRule="auto"/>
        <w:ind w:firstLine="720"/>
        <w:jc w:val="both"/>
      </w:pPr>
      <w:r>
        <w:rPr>
          <w:rFonts w:ascii="Times New Roman" w:cs="Times New Roman" w:eastAsia="Times New Roman" w:hAnsi="Times New Roman"/>
          <w:color w:val="000000"/>
          <w:sz w:val="24"/>
          <w:szCs w:val="24"/>
        </w:rPr>
        <w:t xml:space="preserve">El Corpus B (JEP escrito) y el Corpus C (JEP oral) están igualmente cercanos al lenguaje de MAFAPO (y₈=0.191 en ambos). Para y₉ CIDH, el Corpus C oral (0.263) es más alejado que el Corpus A (0.254): los comparecientes hablan desde la experiencia vivida, no desde el derecho internacional. Eso es teóricamente coherente con Zehr (2002).</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5.5 CFH-BERT v2 — clasificador IO con weighted loss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100"/>
        <w:gridCol w:w="1100"/>
        <w:gridCol w:w="1100"/>
        <w:gridCol w:w="1100"/>
        <w:gridCol w:w="1100"/>
        <w:gridCol w:w="12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Versión</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macro</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REP</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EBI</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SA</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F1 NV</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Acc.</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v1 (BIO, 9 clases)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0.71</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0.47</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0.04</w:t>
            </w:r>
          </w:p>
        </w:tc>
        <w:tc>
          <w:tcPr>
            <w:tcW w:type="dxa" w:w="12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0.68</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v2 (IO, 5 clases)</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0.58</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0.77</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0.52</w:t>
            </w:r>
          </w:p>
        </w:tc>
        <w:tc>
          <w:tcPr>
            <w:tcW w:type="dxa" w:w="11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0.32</w:t>
            </w:r>
          </w:p>
        </w:tc>
        <w:tc>
          <w:tcPr>
            <w:tcW w:type="dxa" w:w="12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0.73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Δ (v2−v1)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+0.31</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+0.06</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+0.04</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+0.28</w:t>
            </w:r>
          </w:p>
        </w:tc>
        <w:tc>
          <w:tcPr>
            <w:tcW w:type="dxa" w:w="12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FFFFFF"/>
                <w:sz w:val="20"/>
                <w:szCs w:val="20"/>
              </w:rPr>
              <w:t xml:space="preserve">+0.05</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5.4. CFH-BERT v1 vs v2. n=100 anotaciones. Mejora más significativa en NV (+0.28) por weighted loss.</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5.6 Brecha discursiva — evidencia integrada A vs B</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000"/>
        <w:gridCol w:w="1200"/>
        <w:gridCol w:w="1100"/>
        <w:gridCol w:w="2326"/>
      </w:tblGrid>
      <w:tr>
        <w:tc>
          <w:tcPr>
            <w:tcW w:type="dxa" w:w="2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1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Capa</w:t>
            </w:r>
          </w:p>
        </w:tc>
        <w:tc>
          <w:tcPr>
            <w:tcW w:type="dxa" w:w="23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Dirección</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Accountability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0.907</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0.946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Ira / confrontación</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0.122</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&gt;&gt; B ✓ (B más restaurativo)</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Balance víctimas</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0.569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0.656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0.239</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0.028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A &gt; B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0.086</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&gt;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Dist. léxico civil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0.990</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0.211</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p=0.0004 ***</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0.254</w:t>
            </w:r>
          </w:p>
        </w:tc>
        <w:tc>
          <w:tcPr>
            <w:tcW w:type="dxa" w:w="1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C2</w:t>
            </w:r>
          </w:p>
        </w:tc>
        <w:tc>
          <w:tcPr>
            <w:tcW w:type="dxa" w:w="23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 &lt; A ✓</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y₂ SA Score</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0.885</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0.913</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0.934 n.s.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C1</w:t>
            </w:r>
          </w:p>
        </w:tc>
        <w:tc>
          <w:tcPr>
            <w:tcW w:type="dxa" w:w="23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transversal al género jurídico</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5.5. Evidencia integrada A vs B — 9 indicadores CFH Capas 1 y 2. * p&lt;0.05  *** p&lt;0.001  n.s. no significativo.</w:t>
      </w:r>
    </w:p>
    <w:p>
      <w:pPr>
        <w:spacing w:after="200" w:line="360" w:lineRule="auto"/>
        <w:ind w:firstLine="720"/>
        <w:jc w:val="both"/>
      </w:pPr>
      <w:r>
        <w:rPr>
          <w:rFonts w:ascii="Times New Roman" w:cs="Times New Roman" w:eastAsia="Times New Roman" w:hAnsi="Times New Roman"/>
          <w:color w:val="000000"/>
          <w:sz w:val="24"/>
          <w:szCs w:val="24"/>
        </w:rPr>
        <w:t xml:space="preserve">Ocho de nueve indicadores son significativos en la dirección predicha. El único no significativo es y₂ SA — confirmando su carácter transversal. La convergencia de seis indicadores con p&lt;0.001 constituye evidencia robusta y multimodal de la brecha discursiva entre la justicia ordinaria y la JEP.</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5.7 Control temporal y análisis de senderos</w:t>
      </w:r>
    </w:p>
    <w:p>
      <w:pPr>
        <w:pStyle w:val="Heading3"/>
        <w:spacing w:after="140" w:before="280"/>
        <w:outlineLvl w:val="2"/>
      </w:pPr>
      <w:r>
        <w:rPr>
          <w:rFonts w:ascii="Times New Roman" w:cs="Times New Roman" w:eastAsia="Times New Roman" w:hAnsi="Times New Roman"/>
          <w:b/>
          <w:bCs/>
          <w:i/>
          <w:iCs/>
          <w:color w:val="000000"/>
          <w:sz w:val="24"/>
          <w:szCs w:val="24"/>
        </w:rPr>
        <w:t xml:space="preserve">5.7.1 Control temporal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2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Indicador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 2018-2023</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Corpus B</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2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Score</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0.147</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0.153</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0.139 n.s.</w:t>
            </w:r>
          </w:p>
        </w:tc>
        <w:tc>
          <w:tcPr>
            <w:tcW w:type="dxa" w:w="2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y₄ NV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0.252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0.293 n.s.</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Brecha parcialmente temporal</w:t>
            </w:r>
          </w:p>
        </w:tc>
      </w:tr>
      <w:tr>
        <w:tc>
          <w:tcPr>
            <w:tcW w:type="dxa" w:w="2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Dist. MAFAPO</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0.217</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p=0.001 ***</w:t>
            </w:r>
          </w:p>
        </w:tc>
        <w:tc>
          <w:tcPr>
            <w:tcW w:type="dxa" w:w="2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Dist. CIDH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0.261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 ***</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Brecha ESTRUCTURAL ✓</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5.6. Control temporal — A 2018-2023 vs B.</w:t>
      </w:r>
    </w:p>
    <w:p>
      <w:pPr>
        <w:pStyle w:val="Heading3"/>
        <w:spacing w:after="140" w:before="280"/>
        <w:outlineLvl w:val="2"/>
      </w:pPr>
      <w:r>
        <w:rPr>
          <w:rFonts w:ascii="Times New Roman" w:cs="Times New Roman" w:eastAsia="Times New Roman" w:hAnsi="Times New Roman"/>
          <w:b/>
          <w:bCs/>
          <w:i/>
          <w:iCs/>
          <w:color w:val="000000"/>
          <w:sz w:val="24"/>
          <w:szCs w:val="24"/>
        </w:rPr>
        <w:t xml:space="preserve">5.7.2 Análisis de senderos exploratorio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1400"/>
        <w:gridCol w:w="2426"/>
      </w:tblGrid>
      <w:tr>
        <w:tc>
          <w:tcPr>
            <w:tcW w:type="dxa" w:w="2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Path</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β</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p-valor</w:t>
            </w:r>
          </w:p>
        </w:tc>
        <w:tc>
          <w:tcPr>
            <w:tcW w:type="dxa" w:w="14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Sig.</w:t>
            </w:r>
          </w:p>
        </w:tc>
        <w:tc>
          <w:tcPr>
            <w:tcW w:type="dxa" w:w="24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Interpretación</w:t>
            </w:r>
          </w:p>
        </w:tc>
      </w:tr>
      <w:tr>
        <w:tc>
          <w:tcPr>
            <w:tcW w:type="dxa" w:w="2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y₁₀ REP ← y₃ civil</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−5.337</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Predictor más fuerte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y₂ SA</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SA coexiste con REP en JEP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y₁₀ REP ← y₄ NV</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+0.058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0.004</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NV coexiste con REP en Corpus B</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y₈ MAFAPO ← y₃ civil</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−0.836</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&lt;0.001</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MAFAPO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y₉ CIDH ← y₃ civil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−0.489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0.012</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y₃ predice cercanía a la CIDH</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5.7. Path analysis exploratorio — CFI=0.619, RMSEA=0.437, n=873.</w:t>
      </w:r>
    </w:p>
    <w:p>
      <w:pPr>
        <w:spacing w:after="200" w:line="360" w:lineRule="auto"/>
        <w:ind w:firstLine="720"/>
        <w:jc w:val="both"/>
      </w:pPr>
      <w:r>
        <w:rPr>
          <w:rFonts w:ascii="Times New Roman" w:cs="Times New Roman" w:eastAsia="Times New Roman" w:hAnsi="Times New Roman"/>
          <w:color w:val="000000"/>
          <w:sz w:val="24"/>
          <w:szCs w:val="24"/>
        </w:rPr>
        <w:t xml:space="preserve">El predictor más fuerte de la transición epistémica es y₃ distancia léxico-civil (β=−5.337, p&lt;0.001): la proximidad léxica al lenguaje de las víctimas civiles es el principal predictor del reconocimiento en el corpus CFH.</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5.8 Capa 3 — Diarización y análisis semántico Corpus 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1000"/>
        <w:gridCol w:w="1000"/>
        <w:gridCol w:w="1200"/>
        <w:gridCol w:w="1200"/>
        <w:gridCol w:w="1626"/>
      </w:tblGrid>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Audiencia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Dur.</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Chars</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Bloques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Segmentos</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y₈ MAFAPO</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y₉ CIDH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115K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58</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4.535</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0.207</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0.271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Costa Caribe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255K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~2.659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0.259</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 — Torres</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5.3h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248K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124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1.389</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0.193</w:t>
            </w:r>
          </w:p>
        </w:tc>
        <w:tc>
          <w:tcPr>
            <w:tcW w:type="dxa" w:w="16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Dabeiba — Antioquia</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2.3h</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287K</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144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1.809</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0.189</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0.262</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10.5h</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267K</w:t>
            </w:r>
          </w:p>
        </w:tc>
        <w:tc>
          <w:tcPr>
            <w:tcW w:type="dxa" w:w="1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134</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6.281</w:t>
            </w:r>
          </w:p>
        </w:tc>
        <w:tc>
          <w:tcPr>
            <w:tcW w:type="dxa" w:w="12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0.186</w:t>
            </w:r>
          </w:p>
        </w:tc>
        <w:tc>
          <w:tcPr>
            <w:tcW w:type="dxa" w:w="16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0.263</w:t>
            </w:r>
          </w:p>
        </w:tc>
      </w:tr>
      <w:tr>
        <w:tc>
          <w:tcPr>
            <w:tcW w:type="dxa" w:w="2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Total Corpus C</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38.1h</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1.17M</w:t>
            </w:r>
          </w:p>
        </w:tc>
        <w:tc>
          <w:tcPr>
            <w:tcW w:type="dxa" w:w="10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588</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~16.673</w:t>
            </w:r>
          </w:p>
        </w:tc>
        <w:tc>
          <w:tcPr>
            <w:tcW w:type="dxa" w:w="12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0.191</w:t>
            </w:r>
          </w:p>
        </w:tc>
        <w:tc>
          <w:tcPr>
            <w:tcW w:type="dxa" w:w="16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0.263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5.9. Corpus C — resultados por subcaso. y₈ y y₉ calculados con ConfliBERT-Spanish sobre 588 bloques. Verde = subcasos más cercanos a las víctimas.</w:t>
      </w:r>
    </w:p>
    <w:p>
      <w:pPr>
        <w:spacing w:after="200" w:line="360" w:lineRule="auto"/>
        <w:ind w:firstLine="720"/>
        <w:jc w:val="both"/>
      </w:pPr>
      <w:r>
        <w:rPr>
          <w:rFonts w:ascii="Times New Roman" w:cs="Times New Roman" w:eastAsia="Times New Roman" w:hAnsi="Times New Roman"/>
          <w:color w:val="000000"/>
          <w:sz w:val="24"/>
          <w:szCs w:val="24"/>
        </w:rPr>
        <w:t xml:space="preserve">El análisis semántico del Corpus C revela diferencias importantes entre subcasos. Huila (y₈=0.186) y Costa Caribe/Dabeiba (y₈=0.189) son los subcasos más cercanos semánticamente al lenguaje de las víctimas de MAFAPO, mientras que Catatumbo (y₈=0.207) es el más distante — coincidentemente el subcaso con mayor porcentaje de silencio en el audio (gaps en minutos 240-330). La media del Corpus C (y₈=0.191) es idéntica a la del Corpus B escrito, confirmando que el lenguaje oral de las audiencias JEP está igualmente cercano a las víctimas que el lenguaje escrito formal. Para y₉ CIDH, todos los subcasos están más alejados que el Corpus B escrito (0.235), lo que es teóricamente coherente: los comparecientes hablan desde la experiencia vivida, no desde el lenguaje técnico-jurídico del derecho internacional humanitario.</w:t>
      </w:r>
    </w:p>
    <w:p>
      <w:pPr>
        <w:spacing w:after="120"/>
      </w:pPr>
      <w:r>
        <w:rPr>
          <w:rFonts w:ascii="Times New Roman" w:cs="Times New Roman" w:eastAsia="Times New Roman" w:hAnsi="Times New Roman"/>
          <w:color w:val="000000"/>
          <w:sz w:val="24"/>
          <w:szCs w:val="24"/>
        </w:rPr>
        <w:t xml:space="preserve"/>
      </w:r>
    </w:p>
    <w:p>
      <w:pPr>
        <w:pStyle w:val="Heading2"/>
        <w:spacing w:after="180" w:before="360"/>
        <w:outlineLvl w:val="1"/>
      </w:pPr>
      <w:r>
        <w:rPr>
          <w:rFonts w:ascii="Times New Roman" w:cs="Times New Roman" w:eastAsia="Times New Roman" w:hAnsi="Times New Roman"/>
          <w:b/>
          <w:bCs/>
          <w:color w:val="000000"/>
          <w:sz w:val="26"/>
          <w:szCs w:val="26"/>
        </w:rPr>
        <w:t xml:space="preserve">5.9 Capa 3 — ICM facial: Action Units por subcaso</w:t>
      </w:r>
    </w:p>
    <w:p>
      <w:pPr>
        <w:spacing w:after="200" w:line="360" w:lineRule="auto"/>
        <w:ind w:firstLine="720"/>
        <w:jc w:val="both"/>
      </w:pPr>
      <w:r>
        <w:rPr>
          <w:rFonts w:ascii="Times New Roman" w:cs="Times New Roman" w:eastAsia="Times New Roman" w:hAnsi="Times New Roman"/>
          <w:color w:val="000000"/>
          <w:sz w:val="24"/>
          <w:szCs w:val="24"/>
        </w:rPr>
        <w:t xml:space="preserve">La Capa 3 multimodal del framework CFH extrae Action Units (AUs) faciales de los comparecientes en las audiencias de reconocimiento, utilizando MediaPipe FaceLandmarker sobre los segmentos de audio diarizados. Los speakers comparecientes fueron identificados mediante cruce de diarización con transcripciones de Whisper: SPEAKER_03 Casanare = General General, subcaso Casanare (letrero JEP en pantalla); SPEAKER_03 Catatumbo = Capitán, subcaso Catatumbo; SPEAKER_01 Dabeiba = compareciente oficial (contenido textual); SPEAKER_06+07+08 Huila = soldados y suboficiales incluyendo a suboficial, subcaso Huila. La detección facial fue optimizada con umbral 0.3, 50 frames por segmento y recorte por cuadrantes — logrando tasas de 40-93%.</w:t>
      </w:r>
    </w:p>
    <w:p>
      <w:pPr>
        <w:spacing w:after="200" w:line="360" w:lineRule="auto"/>
        <w:ind w:firstLine="720"/>
        <w:jc w:val="both"/>
      </w:pPr>
      <w:r>
        <w:rPr>
          <w:sz w:val="24"/>
          <w:szCs w:val="24"/>
        </w:rPr>
        <w:t xml:space="preserve">Nota epistemológica sobre la Capa 3: los resultados que se presentan a continuación deben leerse con una cautela fundamental. Conforme a Barrett et al. (2019), las expresiones faciales no decodifican estados emocionales internos de manera universal. El ICM facial reportado en esta sección no mide sinceridad individual de los comparecientes. Mide patrones de congruencia entre canales comunicativos multimodales a nivel de corpus —una caracterización comparativa de las audiencias, no una evaluación de personas.</w:t>
      </w:r>
    </w:p>
    <w:p>
      <w:pPr>
        <w:spacing w:after="200" w:line="360" w:lineRule="auto"/>
        <w:ind w:firstLine="720"/>
        <w:jc w:val="both"/>
      </w:pPr>
      <w:r>
        <w:rPr>
          <w:i/>
          <w:sz w:val="20"/>
          <w:szCs w:val="20"/>
          <w:color w:val="2E4057"/>
        </w:rPr>
        <w:t xml:space="preserve">Barrett, L. F., Adolphs, R., Marsella, S., Martinez, A. M., y Pollak, S. D. (2019). Emotional Expressions Reconsidered: Challenges to Inferring Emotion From Human Facial Movements. Psychological Science in the Public Interest, 20(1), 1–68.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700"/>
        <w:gridCol w:w="800"/>
        <w:gridCol w:w="800"/>
        <w:gridCol w:w="800"/>
        <w:gridCol w:w="826"/>
      </w:tblGrid>
      <w:tr>
        <w:tc>
          <w:tcPr>
            <w:tcW w:type="dxa" w:w="1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Subcaso</w:t>
            </w:r>
          </w:p>
        </w:tc>
        <w:tc>
          <w:tcPr>
            <w:tcW w:type="dxa" w:w="15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FFFFFF"/>
                <w:sz w:val="20"/>
                <w:szCs w:val="20"/>
              </w:rPr>
              <w:t xml:space="preserve">Compareciente / Rango</w:t>
            </w:r>
          </w:p>
        </w:tc>
        <w:tc>
          <w:tcPr>
            <w:tcW w:type="dxa" w:w="7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Segs.</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AU4 ceño</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AU12 sonrisa</w:t>
            </w:r>
          </w:p>
        </w:tc>
        <w:tc>
          <w:tcPr>
            <w:tcW w:type="dxa" w:w="800"/>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Det. %</w:t>
            </w:r>
          </w:p>
        </w:tc>
        <w:tc>
          <w:tcPr>
            <w:tcW w:type="dxa" w:w="826"/>
            <w:tcBorders>
              <w:top w:val="single" w:color="CCCCCC" w:sz="1"/>
              <w:left w:val="single" w:color="CCCCCC" w:sz="1"/>
              <w:bottom w:val="single" w:color="CCCCCC" w:sz="1"/>
              <w:right w:val="single" w:color="CCCCCC" w:sz="1"/>
            </w:tcBorders>
            <w:shd w:fill="0D2137"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FFFFFF"/>
                <w:sz w:val="20"/>
                <w:szCs w:val="20"/>
              </w:rPr>
              <w:t xml:space="preserve">ICM score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Casanare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Gral. General, subcaso Casanare</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903</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0.076</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0.091</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86%</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0.190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Catatumbo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Cap. Capitán, subcaso Catatumbo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1.168</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0.183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0.131</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55%</w:t>
            </w:r>
          </w:p>
        </w:tc>
        <w:tc>
          <w:tcPr>
            <w:tcW w:type="dxa" w:w="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0.272</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Huila</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Soldados/suboficiales (suboficial, subcaso Huila+)</w:t>
            </w:r>
          </w:p>
        </w:tc>
        <w:tc>
          <w:tcPr>
            <w:tcW w:type="dxa" w:w="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322</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0.235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0.085</w:t>
            </w:r>
          </w:p>
        </w:tc>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93%</w:t>
            </w:r>
          </w:p>
        </w:tc>
        <w:tc>
          <w:tcPr>
            <w:tcW w:type="dxa" w:w="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0.299</w:t>
            </w:r>
          </w:p>
        </w:tc>
      </w:tr>
      <w:tr>
        <w:tc>
          <w:tcPr>
            <w:tcW w:type="dxa" w:w="1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bCs/>
                <w:i w:val="false"/>
                <w:iCs w:val="false"/>
                <w:color w:val="000000"/>
                <w:sz w:val="20"/>
                <w:szCs w:val="20"/>
              </w:rPr>
              <w:t xml:space="preserve">Dabeiba</w:t>
            </w:r>
          </w:p>
        </w:tc>
        <w:tc>
          <w:tcPr>
            <w:tcW w:type="dxa" w:w="1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left"/>
            </w:pPr>
            <w:r>
              <w:rPr>
                <w:rFonts w:ascii="Times New Roman" w:cs="Times New Roman" w:eastAsia="Times New Roman" w:hAnsi="Times New Roman"/>
                <w:b w:val="false"/>
                <w:bCs w:val="false"/>
                <w:i w:val="false"/>
                <w:iCs w:val="false"/>
                <w:color w:val="000000"/>
                <w:sz w:val="20"/>
                <w:szCs w:val="20"/>
              </w:rPr>
              <w:t xml:space="preserve">Oficial (coronel/teniente coronel)</w:t>
            </w:r>
          </w:p>
        </w:tc>
        <w:tc>
          <w:tcPr>
            <w:tcW w:type="dxa" w:w="7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424</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0.371</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0.079</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val="false"/>
                <w:bCs w:val="false"/>
                <w:i w:val="false"/>
                <w:iCs w:val="false"/>
                <w:color w:val="000000"/>
                <w:sz w:val="20"/>
                <w:szCs w:val="20"/>
              </w:rPr>
              <w:t xml:space="preserve">40%</w:t>
            </w:r>
          </w:p>
        </w:tc>
        <w:tc>
          <w:tcPr>
            <w:tcW w:type="dxa" w:w="826"/>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pPr>
              <w:spacing w:after="0"/>
              <w:jc w:val="center"/>
            </w:pPr>
            <w:r>
              <w:rPr>
                <w:rFonts w:ascii="Times New Roman" w:cs="Times New Roman" w:eastAsia="Times New Roman" w:hAnsi="Times New Roman"/>
                <w:b/>
                <w:bCs/>
                <w:i w:val="false"/>
                <w:iCs w:val="false"/>
                <w:color w:val="000000"/>
                <w:sz w:val="20"/>
                <w:szCs w:val="20"/>
              </w:rPr>
              <w:t xml:space="preserve">0.353</w:t>
            </w:r>
          </w:p>
        </w:tc>
      </w:tr>
    </w:tbl>
    <w:p>
      <w:pPr>
        <w:spacing w:after="120"/>
      </w:pPr>
      <w:r>
        <w:rPr>
          <w:rFonts w:ascii="Times New Roman" w:cs="Times New Roman" w:eastAsia="Times New Roman" w:hAnsi="Times New Roman"/>
          <w:color w:val="000000"/>
          <w:sz w:val="24"/>
          <w:szCs w:val="24"/>
        </w:rPr>
        <w:t xml:space="preserve"/>
      </w:r>
    </w:p>
    <w:p>
      <w:pPr>
        <w:spacing w:after="240"/>
        <w:jc w:val="center"/>
      </w:pPr>
      <w:r>
        <w:rPr>
          <w:rFonts w:ascii="Times New Roman" w:cs="Times New Roman" w:eastAsia="Times New Roman" w:hAnsi="Times New Roman"/>
          <w:i/>
          <w:iCs/>
          <w:color w:val="595959"/>
          <w:sz w:val="20"/>
          <w:szCs w:val="20"/>
        </w:rPr>
        <w:t xml:space="preserve">Tabla 5.10. ICM facial v3 por subcaso — MediaPipe FaceLandmarker optimizado. ICM = distress/(distress+sonrisa). Mayor ICM = mayor congruencia multimodal. Ordenado por ICM ascendente.</w:t>
      </w:r>
    </w:p>
    <w:p>
      <w:pPr>
        <w:spacing w:after="200" w:line="360" w:lineRule="auto"/>
        <w:ind w:firstLine="720"/>
        <w:jc w:val="both"/>
      </w:pPr>
      <w:r>
        <w:rPr>
          <w:rFonts w:ascii="Times New Roman" w:cs="Times New Roman" w:eastAsia="Times New Roman" w:hAnsi="Times New Roman"/>
          <w:color w:val="000000"/>
          <w:sz w:val="24"/>
          <w:szCs w:val="24"/>
        </w:rPr>
        <w:t xml:space="preserve">El análisis facial con detección optimizada (v3) revela que Dabeiba presenta el ICM más alto (0.353) — no Huila como indicaba la versión preliminar. El patrón general se mantiene: General General, subcaso Casanare tiene el ICM más bajo (0.190) y los comparecientes de menor rango tienen ICM más alto. Sin embargo, el orden exacto entre Huila (soldados, ICM=0.299) y Dabeiba (oficiales, ICM=0.353) invierte la hipótesis simple del gradiente por rango. Una interpretación alternativa más robusta es por contexto del subcaso: Dabeiba tiene el ICM más alto porque es el subcaso más materialmente concreto del corpus — los comparecientes guiaron personalmente a los investigadores a 49 fosas en el cementerio Las Mercedes. La materialidad física del crimen puede generar mayor distress facial independientemente del rango.</w:t>
      </w:r>
    </w:p>
    <w:p>
      <w:pPr>
        <w:spacing w:after="200" w:line="360" w:lineRule="auto"/>
        <w:ind w:firstLine="720"/>
        <w:jc w:val="both"/>
      </w:pPr>
      <w:r>
        <w:rPr>
          <w:rFonts w:ascii="Times New Roman" w:cs="Times New Roman" w:eastAsia="Times New Roman" w:hAnsi="Times New Roman"/>
          <w:color w:val="000000"/>
          <w:sz w:val="24"/>
          <w:szCs w:val="24"/>
        </w:rPr>
        <w:t xml:space="preserve">El subcaso Catatumbo presenta el AU15 más alto del corpus (0.011 — tristeza/dolor), coherente con ser la primera audiencia de reconocimiento de la JEP (26-27 abril 2022). General (Casanare) tiene el AU12 más alto (0.091) — mayor sonrisa — y el AU4 más bajo (0.076) — menor ceño. Este perfil de alta sonrisa y bajo ceño, en el contexto de un reconocimiento de responsabilidad por asesinato de civiles, es el más consistente con un patrón de baja congruencia multimodal en el corpus.</w:t>
      </w:r>
    </w:p>
    <w:p>
      <w:pPr>
        <w:spacing w:after="200" w:line="360" w:lineRule="auto"/>
        <w:ind w:firstLine="720"/>
        <w:jc w:val="both"/>
      </w:pPr>
      <w:r>
        <w:rPr>
          <w:rFonts w:ascii="Times New Roman" w:cs="Times New Roman" w:eastAsia="Times New Roman" w:hAnsi="Times New Roman"/>
          <w:color w:val="000000"/>
          <w:sz w:val="24"/>
          <w:szCs w:val="24"/>
        </w:rPr>
        <w:t xml:space="preserve">La detección facial varía entre audiencias (86% Casanare, 93% Huila, 55% Catatumbo, 40% Dabeiba). La baja detección en Dabeiba (40%) afecta la robustez de su ICM — los resultados deben interpretarse con cautela.</w:t>
      </w:r>
    </w:p>
    <w:p>
      <w:pPr>
        <w:spacing w:after="200" w:line="360" w:lineRule="auto"/>
        <w:ind w:firstLine="720"/>
        <w:jc w:val="both"/>
      </w:pPr>
      <w:r>
        <w:rPr>
          <w:sz w:val="22"/>
          <w:szCs w:val="22"/>
          <w:b/>
          <w:color w:val="0D2137"/>
        </w:rPr>
        <w:t xml:space="preserve">Tabla 5.11. ICM vocal (eGeMAPS) por subcaso — OpenSMILE eGeMAPS v02, segmentos diarizados del compareciente. ICM_vocal = (shimmer_norm + F0_std_norm) / 2. n = ventanas del compareciente tras cruce con diarización AUs.</w:t>
      </w:r>
    </w:p>
    <w:p>
      <w:pPr>
        <w:spacing w:after="200" w:line="360" w:lineRule="auto"/>
        <w:ind w:firstLine="720"/>
        <w:jc w:val="both"/>
      </w:pPr>
      <w:r>
        <w:rPr>
          <w:sz w:val="24"/>
          <w:szCs w:val="24"/>
        </w:rPr>
        <w:t xml:space="preserve">5.10 Capa 3 — ICM vocal: canal prosódico por subcaso
El canal prosódico se extrajo usando OpenSMILE eGeMAPS v02 (88 features) sobre los WAV de las cuatro audiencias a 16kHz, filtrando únicamente los segmentos temporales del compareciente mediante cruce con las diarizaciones MediaPipe (start/end de cada segmento AU). Se obtuvieron 354 ventanas para Casanare, 332 para Catatumbo, 83 para Dabeiba y 342 para Huila. El ICM vocal se calcula como la media de shimmer normalizado y F0_stddev normalizado por subcaso: mayor shimmer y mayor variabilidad de F0 indican mayor irregularidad vocal asociada a carga emocional alta.
Los resultados revelan que Dabeiba presenta el ICM vocal más alto (0.452) — mayor irregularidad prosódica, coherente con la materialidad del acto de reconocimiento (49 fosas). Casanare presenta un ICM vocal alto (0.415) pero con el shimmer más elevado del corpus (1.42 dB), lo que combinado con su ICM facial bajo (0.190) produce el patrón de mayor divergencia entre canales (Δ=0.225). Catatumbo y Huila son los subcasos con mayor convergencia entre canal facial y vocal (Δ=0.045 y Δ=0.035 respectivamente).</w:t>
      </w:r>
    </w:p>
    <w:p>
      <w:pPr>
        <w:spacing w:after="200" w:line="360" w:lineRule="auto"/>
        <w:ind w:firstLine="720"/>
        <w:jc w:val="both"/>
      </w:pPr>
      <w:r>
        <w:rPr>
          <w:sz w:val="22"/>
          <w:szCs w:val="22"/>
          <w:b/>
          <w:color w:val="0D2137"/>
        </w:rPr>
        <w:t xml:space="preserve">Tabla 5.12. ICM tri-canal ponderado por subcaso. ICM_tri = 0.40 × ICM_facial + 0.40 × ICM_vocal + 0.20 × ICM_verbal. ICM_verbal = 1 − (y₈ − y₈_min)/(y₈_max − y₈_min). Ordenado por ICM tri-canal ascendente.</w:t>
      </w:r>
    </w:p>
    <w:p>
      <w:pPr>
        <w:spacing w:after="200" w:line="360" w:lineRule="auto"/>
        <w:ind w:firstLine="720"/>
        <w:jc w:val="both"/>
      </w:pPr>
      <w:r>
        <w:rPr>
          <w:sz w:val="24"/>
          <w:szCs w:val="24"/>
        </w:rPr>
        <w:t xml:space="preserve">5.11 Capa 3 — ICM tri-canal ponderado
La versión tri-canal del ICM integra los tres canales comunicativos disponibles mediante ponderación explícita: ICM_tri = 0.40 × ICM_facial + 0.40 × ICM_vocal + 0.20 × ICM_verbal. El canal verbal se operacionaliza como la proximidad semántica al centroide MAFAPO (y₈), invertida y normalizada: mayor proximidad al lenguaje de las víctimas = mayor congruencia verbal. Los pesos reflejan la disponibilidad diferencial de datos: facial y vocal tienen cobertura completa sobre los cuatro subcasos; verbal tiene el 100% de cobertura pero es una aproximación indirecta.
El ICM tri-canal produce el siguiente ranking: Catatumbo (0.236) &lt; Casanare (0.375) &lt; Huila (0.454) &lt; Dabeiba (0.493). Este ranking difiere del ICM facial en un aspecto crítico: Catatumbo, que tenía el segundo ICM facial más bajo (0.272), pasa a ser el subcaso de menor congruencia tri-canal (0.236) debido a que su canal verbal es el más distante del lenguaje de MAFAPO (y₈=0.207 — el más alto del corpus C, es decir, el más alejado). Dabeiba, con la mayor materialidad del acto de reconocimiento, consolida el primer lugar en congruencia tri-canal (0.493). El caso Casanare sube del último al segundo lugar porque su canal vocal compensa parcialmente la baja congruencia facial — aunque la divergencia entre canales (Δ=0.225 facial-vocal) sigue siendo la más alta del corpus.</w:t>
      </w:r>
    </w:p>
    <w:p>
      <w:pPr>
        <w:spacing w:after="200" w:line="360" w:lineRule="auto"/>
        <w:ind w:firstLine="720"/>
        <w:jc w:val="both"/>
      </w:pPr>
      <w:r>
        <w:rPr>
          <w:sz w:val="22"/>
          <w:szCs w:val="22"/>
          <w:b/>
          <w:color w:val="0D2137"/>
        </w:rPr>
        <w:t xml:space="preserve">Tabla 5.13. Corpus C — indicadores CFH completos por subcaso. y₂=Supresión de Agentividad, y₄=Negación de Victimización, y₁₀=Lenguaje Reparatorio, y₈=Distancia MAFAPO, y₉=Distancia CIDH. ICM_f=facial, ICM_v=vocal, ICM_tri=tri-canal ponderado (w=0.40/0.40/0.20). Costa Caribe: sin ICM por DRM en video.</w:t>
      </w:r>
    </w:p>
    <w:p>
      <w:pPr>
        <w:spacing w:after="200" w:line="360" w:lineRule="auto"/>
        <w:ind w:firstLine="720"/>
        <w:jc w:val="both"/>
      </w:pPr>
      <w:r>
        <w:rPr>
          <w:sz w:val="24"/>
          <w:szCs w:val="24"/>
        </w:rPr>
        <w:t xml:space="preserve">5.12 Análisis integrado Corpus C — 6 indicadores CFH
El análisis completo del Corpus C (538 bloques, 5 subcasos, ~38 horas de audiencias) con los seis indicadores CFH más el ICM tri-canal revela un perfil diferenciado por subcaso que permite contrastar la congruencia discursiva en múltiples dimensiones.
Casanare (General General, subcaso Casanare) presenta el perfil de mayor distancia discursiva del corpus: y₂ SA más alto (0.974 — máxima pasivización), y₄ NV más alto (0.483 — mayor negación de victimización) y el ICM tri-canal segundo más bajo (0.375). La combinación de alta supresión de agentividad, alta negación de victimización y baja congruencia multimodal es el patrón más consistente de distancia discursiva en el corpus.
Catatumbo (Capitán, subcaso Catatumbo) tiene el ICM tri-canal más bajo (0.236) a pesar de mostrar la menor supresión de agentividad (y₂=0.532) y la menor negación de victimización (y₄=0.220). El factor determinante es que su canal semántico es el más distante del lenguaje de MAFAPO (y₈=0.207 — el más alto del corpus C), lo que arrastra el ICM tri-canal hacia abajo a través del componente verbal. Este es el hallazgo más contraintuitivo del corpus: mayor gramaticalmente directo pero semánticamente más distante de las víctimas.
Dabeiba (Oficial) consolida el perfil de mayor congruencia en el corpus (ICM_tri=0.493): y₄ NV más bajo (0.211), ICM facial más alto (0.353), ICM vocal más alto (0.452) y distancia MAFAPO baja (y₈=0.189). La materialidad del acto de reconocimiento — 49 fosas del cementerio Las Mercedes — se correlaciona con el perfil de mayor congruencia discursiva multi-canal.
Huila (suboficial, subcaso Huila y otros) presenta el mayor y₁₀ REP (0.147) y la menor distancia MAFAPO (y₈=0.186) del corpus C — es el subcaso semánticamente más cercano al lenguaje de las víctimas, con ICM tri-canal 0.453.
Costa Caribe (12 comparecientes, Batallón La Popa) no tiene ICM disponible por DRM en el video, pero presenta el segundo y₄ NV más alto del corpus (0.373) — mayor que Huila y Dabeiba — lo que indica un patrón lingüístico de mayor distancia discursiva que los subcasos con video disponible.</w:t>
      </w:r>
    </w:p>
    <w:p>
      <w:pPr>
        <w:spacing w:after="200" w:line="360" w:lineRule="auto"/>
        <w:ind w:firstLine="720"/>
        <w:jc w:val="both"/>
      </w:pPr>
      <w:r>
        <w:rPr>
          <w:sz w:val="24"/>
          <w:szCs w:val="24"/>
        </w:rPr>
        <w:t xml:space="preserve">El hallazgo central del análisis integrado es la disociación entre los canales discursivos en el corpus C. En ningún subcaso todos los indicadores apuntan en la misma dirección. Casanare tiene alta NV y alta SA pero voz prosódicamente expresiva. Catatumbo tiene baja SA y baja NV pero léxico semánticamente distante de MAFAPO. Dabeiba tiene alta congruencia multimodal pero bajo lenguaje reparatorio (y₁₀=0.066). Esta disociación sugiere que el reconocimiento en las audiencias JEP es un fenómeno multidimensional que no puede reducirse a un único indicador — lo que justifica metodológicamente la arquitectura multi-capa del framework CFH.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F59E0B" w:sz="1"/>
              <w:left w:val="single" w:color="F59E0B" w:sz="6"/>
              <w:bottom w:val="single" w:color="F59E0B" w:sz="1"/>
              <w:right w:val="single" w:color="F59E0B" w:sz="1"/>
            </w:tcBorders>
            <w:shd w:fill="FEF3CD" w:val="clear"/>
            <w:tcMar>
              <w:top w:type="dxa" w:w="100"/>
              <w:left w:type="dxa" w:w="200"/>
              <w:bottom w:type="dxa" w:w="100"/>
              <w:right w:type="dxa" w:w="120"/>
            </w:tcMar>
          </w:tcPr>
          <w:p>
            <w:pPr>
              <w:spacing w:after="0"/>
            </w:pPr>
            <w:r>
              <w:rPr>
                <w:rFonts w:ascii="Times New Roman" w:cs="Times New Roman" w:eastAsia="Times New Roman" w:hAnsi="Times New Roman"/>
                <w:b/>
                <w:bCs/>
                <w:color w:val="92400E"/>
                <w:sz w:val="22"/>
                <w:szCs w:val="22"/>
              </w:rPr>
              <w:t xml:space="preserve">⚠ PENDIENTE versión final: </w:t>
            </w:r>
            <w:r>
              <w:rPr>
                <w:rFonts w:ascii="Times New Roman" w:cs="Times New Roman" w:eastAsia="Times New Roman" w:hAnsi="Times New Roman"/>
                <w:i/>
                <w:iCs/>
                <w:color w:val="92400E"/>
                <w:sz w:val="22"/>
                <w:szCs w:val="22"/>
              </w:rPr>
              <w:t xml:space="preserve">ICM completo pendiente: (1) canal vocal eGeMAPS — shimmer, jitter, F0 por segmento diarizado, (2) video Costa Caribe sin DRM, (3) validación perceptual ICM vs. jueces humanos (Baird y Coutinho, 2019).</w:t>
            </w:r>
          </w:p>
        </w:tc>
      </w:tr>
    </w:tbl>
    <w:p>
      <w:pPr>
        <w:spacing w:after="120"/>
      </w:pPr>
      <w:r>
        <w:rPr>
          <w:rFonts w:ascii="Times New Roman" w:cs="Times New Roman" w:eastAsia="Times New Roman" w:hAnsi="Times New Roman"/>
          <w:color w:val="000000"/>
          <w:sz w:val="24"/>
          <w:szCs w:val="24"/>
        </w:rPr>
        <w:t xml:space="preserve"/>
      </w:r>
    </w:p>
    <w:p>
      <w:pPr>
        <w:jc w:val="both"/>
        <w:spacing w:after="160" w:line="340"/>
      </w:pPr>
      <w:r>
        <w:rPr>
          <w:sz w:val="24"/>
          <w:szCs w:val="24"/>
          <w:b/>
          <w:color w:val="0D2137"/>
        </w:rPr>
        <w:t xml:space="preserve">5.13 Índice de Injusticia Epistémica (IEI) y comparación con el DIS Score</w:t>
      </w:r>
    </w:p>
    <w:p>
      <w:pPr>
        <w:pStyle w:val="Normal"/>
      </w:pPr>
      <w:r>
        <w:rPr/>
        <w:t xml:space="preserve">H_ICM_B — congruencia injusta tri-canal: Catatumbo y Costa Caribe presentan cong_injusta=True. Los tres canales convergen simultáneamente en la dirección del no-reconocimiento. En Catatumbo, esta congruencia tri-canal injusta coexiste con DIS=0.110 — el más bajo del corpus. El Capitán, subcaso Catatumbo habla sin distorsiones habermasianas en el canal gramatical, pero los tres canales — incluido el verbal — no producen alta congruencia multimodal. Esta es la forma de injusticia epistémica que Fricker (2007) identifica pero el análisis verbal solo no puede detectar: una congruencia tri-canal en la dirección del no-reconocimiento, sin violencia gramatical explícita.</w:t>
      </w:r>
    </w:p>
    <w:p>
      <w:pPr>
        <w:pStyle w:val="Normal"/>
      </w:pPr>
      <w:r>
        <w:rPr/>
        <w:t xml:space="preserve">Los resultados del ICM revelan dos patrones que corresponden a las hipótesis trimodales del framework. H_ICM_A confirmada parcialmente: la correlación entre el DIS Score y la disociación tri-canal es rho(DIS, dis_tri)=+0.90. Los subcasos con mayor injusticia discursiva activa — Casanare (dis_tri=0.109) y Dabeiba (dis_tri=0.079) — muestran mayor tensión entre lo que se dice verbalmente y lo que los canales no-verbales expresan. En Casanare, vocal (0.635) y facial (0.496) muestran más señales de distress que el canal verbal (0.368). La correlación con el IEI es rho=-0.10, no significativa: la injusticia epistémica no se manifiesta como disociación entre canales sino como congruencia.</w:t>
      </w:r>
    </w:p>
    <w:p>
      <w:pPr>
        <w:pStyle w:val="Heading 3"/>
      </w:pPr>
      <w:r>
        <w:rPr/>
        <w:t xml:space="preserve">§5.13.3 Interpretación del ICM tri-canal — hipótesis trimodales</w:t>
      </w:r>
    </w:p>
    <w:p>
      <w:pPr>
        <w:pStyle w:val="Normal"/>
      </w:pPr>
      <w:r>
        <w:rPr/>
        <w:t xml:space="preserve">La robustez de los valores DIS e IEI de la Tabla 5.14 fue verificada mediante análisis de sensibilidad. La condición IEI&gt;DIS de Catatumbo se mantiene en el 100% de 141 combinaciones de pesos plausibles evaluadas para el DIS Score. La condición de máxima disociación DIS-IEI de Catatumbo se mantiene en el 85% de las combinaciones. Estos resultados confirman que el hallazgo central no es un artefacto de la especificación de pesos.</w:t>
      </w:r>
    </w:p>
    <w:p>
      <w:pPr>
        <w:pStyle w:val="Heading 3"/>
      </w:pPr>
      <w:r>
        <w:rPr/>
        <w:t xml:space="preserve">§5.13.2 Análisis de parsimonia — robustez de la Tabla 5.14</w:t>
      </w:r>
    </w:p>
    <w:p>
      <w:pPr>
        <w:pStyle w:val="Normal"/>
      </w:pPr>
      <w:r>
        <w:rPr/>
        <w:t xml:space="preserve">El subcaso Costa Caribe (Batallón La Popa, 12 comparecientes) fue incorporado al análisis ICM con la diarización completada el 01/06/2026 (10.46 horas, 5,717 segmentos, SPEAKER_00=44.7 minutos). Los valores ICM v5 son: icm_vocal=0.465, icm_facial=0.104 (43% detección), icm_verbal=0.132, dis_tri=0.012, cong_injusta=True. DIS=0.464, IEI=0.231. El perfil es CONGRUENTE INJUSTO — similar a Catatumbo, con los tres canales convergiendo en la dirección del no-reconocimiento.</w:t>
      </w:r>
    </w:p>
    <w:p>
      <w:pPr>
        <w:pStyle w:val="Heading 3"/>
      </w:pPr>
      <w:r>
        <w:rPr/>
        <w:t xml:space="preserve">§5.13.1 Costa Caribe — actualización v2 (01/06/2026)</w:t>
      </w:r>
    </w:p>
    <w:p>
      <w:pPr>
        <w:jc w:val="both"/>
        <w:spacing w:after="160" w:line="340"/>
      </w:pPr>
      <w:r>
        <w:rPr>
          <w:sz w:val="22"/>
          <w:szCs w:val="22"/>
        </w:rPr>
        <w:t xml:space="preserve">Tabla 5.14. DIS Score (η₁ — injusticia discursiva) vs. IEI (η₂ — injusticia epistémica) por subcaso — Corpus C. DIS = 0.35×y₂_SA_norm + 0.35×y₄_NV_norm + 0.30×(1−y₁₀_REP_norm). IEI = 0.35×y₈_MAF_norm + 0.20×y₉_CIDH_norm + 0.25×y₄_NV_norm + 0.20×(1−y₁₀_REP_norm). Mayor valor = mayor injusticia. Δ = |DIS−IEI|.</w:t>
      </w:r>
    </w:p>
    <w:p>
      <w:pPr>
        <w:jc w:val="both"/>
        <w:spacing w:after="160" w:line="340"/>
      </w:pPr>
      <w:r>
        <w:rPr>
          <w:sz w:val="22"/>
          <w:szCs w:val="22"/>
        </w:rPr>
        <w:t xml:space="preserve">La tabla DIS vs. IEI | Casanare: DIS=0.808, IEI=0.517, Δ=0.291, DIS&gt;IEI | Catatumbo: DIS=0.110, IEI=0.624, Δ=0.514, IEI&gt;DIS | Dabeiba: DIS=0.490, IEI=0.299, Δ=0.190, DIS&gt;IEI | Huila: DIS=0.228, IEI=0.081, Δ=0.147, DIS&gt;IEI | Costa Caribe: DIS=0.464, IEI=0.231, Δ=0.233, DIS&gt;IEI</w:t>
      </w:r>
    </w:p>
    <w:p>
      <w:pPr>
        <w:jc w:val="both"/>
        <w:spacing w:after="160" w:line="340"/>
      </w:pPr>
      <w:r>
        <w:rPr>
          <w:sz w:val="22"/>
          <w:szCs w:val="22"/>
        </w:rPr>
        <w:t xml:space="preserve">El Índice de Injusticia Epistémica (IEI) operacionaliza el marco de Fricker (2007) con los indicadores disponibles: distancia semántica al léxico de víctimas (y₈ MAFAPO, peso 0.35), distancia a estándares DDHH (y₉ CIDH, peso 0.20), credibility deficit léxico (y₄ NV, peso 0.25) y ausencia de expansión hermenéutica (1−y₁₀ REP, peso 0.20). El IEI mide si el proceso dialógico de las audiencias JEP corrige la injusticia hermenéutica de las víctimas —operacionalizada como convergencia semántica hacia el léxico de MAFAPO— independientemente de si el compareciente reduce su injusticia discursiva gramatical.</w:t>
      </w:r>
    </w:p>
    <w:p>
      <w:pPr>
        <w:jc w:val="both"/>
        <w:spacing w:after="160" w:line="340"/>
      </w:pPr>
      <w:r>
        <w:rPr>
          <w:sz w:val="22"/>
          <w:szCs w:val="22"/>
        </w:rPr>
        <w:t xml:space="preserve">El hallazgo central de la comparación DIS vs. IEI es que los dos índices pueden disociarse, y la disociación tiene un caso paradigmático: Catatumbo (Δ=0.514). El Capitán, subcaso Catatumbo exhibe la menor injusticia discursiva del corpus (DIS=0.110 — menor SA, menor NV) pero la mayor injusticia epistémica (IEI=0.624 — mayor distancia semántica a MAFAPO). Esta disociación es el hallazgo más contraintuitivo del análisis integrado: reducir la injusticia gramatical y léxica del discurso no garantiza adoptar los recursos hermenéuticos de las víctimas. En términos de Fricker (2007), el Capitán, subcaso Catatumbo corrige la injusticia testimonial (cede autoridad gramatical, habla en primera persona activa, reduce negación de victimización) pero mantiene la injusticia hermenéutica (su léxico permanece distante del que las víctimas usaron para nombrar su experiencia).</w:t>
      </w:r>
    </w:p>
    <w:p>
      <w:pPr>
        <w:jc w:val="both"/>
        <w:spacing w:after="160" w:line="340"/>
      </w:pPr>
      <w:r>
        <w:rPr>
          <w:sz w:val="22"/>
          <w:szCs w:val="22"/>
        </w:rPr>
        <w:t xml:space="preserve">Casanare (General, subcaso Casanare) presenta coherencia negativa: alto DIS (0.808) y alto IEI (0.517). Es el único subcaso donde ambos tipos de injusticia son simultáneamente elevados — el perfil de mayor distancia discursiva y epistémica del corpus. La convergencia de alta SA, alta NV, distancia MAFAPO elevada y máxima divergencia vocal-facial (ICM_tri=0.375, el segundo más bajo) configura el patrón multi-dimensional de mayor injusticia en el corpus C.</w:t>
      </w:r>
    </w:p>
    <w:p>
      <w:pPr>
        <w:jc w:val="both"/>
        <w:spacing w:after="160" w:line="340"/>
      </w:pPr>
      <w:r>
        <w:rPr>
          <w:sz w:val="22"/>
          <w:szCs w:val="22"/>
        </w:rPr>
        <w:t xml:space="preserve">Huila presenta el mejor perfil bi-índice del corpus: DIS=0.228 e IEI=0.081 — los valores más bajos en ambas dimensiones. Es el subcaso semánticamente más cercano al léxico de las víctimas (y₈=0.186, el mínimo del corpus C) y con mayor lenguaje reparatorio (y₁₀=0.147). En términos del proceso dialógico de la JEP, Huila es el subcaso donde la audiencia de reconocimiento más se aproxima a lo que Fricker llamaría corrección simultánea de injusticia testimonial e injusticia hermenéutica.</w:t>
      </w:r>
    </w:p>
    <w:p>
      <w:pPr>
        <w:jc w:val="both"/>
        <w:spacing w:after="160" w:line="340"/>
      </w:pPr>
      <w:r>
        <w:rPr>
          <w:sz w:val="22"/>
          <w:szCs w:val="22"/>
        </w:rPr>
        <w:t xml:space="preserve">Dabeiba, pese a tener el ICM tri-canal más alto (0.493 — mayor congruencia multimodal), presenta una disociación DIS&gt;IEI (DIS=0.490, IEI=0.299): su injusticia discursiva es moderada pero su injusticia epistémica es relativamente baja. La materialidad del reconocimiento —49 fosas del cementerio Las Mercedes— correlaciona con la baja injusticia epistémica pero no con la baja injusticia discursiva, lo que sugiere que los comparecientes de Dabeiba adoptaron el léxico de las víctimas (reduciendo el hermeneutical gap) más que la gramática de la responsabilidad (la SA permanece en 0.771).</w:t>
      </w:r>
    </w:p>
    <w:p>
      <w:pPr>
        <w:jc w:val="both"/>
        <w:spacing w:after="160" w:line="340"/>
      </w:pPr>
      <w:r>
        <w:rPr>
          <w:sz w:val="22"/>
          <w:szCs w:val="22"/>
        </w:rPr>
        <w:t xml:space="preserve">La comparación DIS-IEI produce la proposición empírica más original del análisis: en el proceso dialógico de la JEP, la corrección de la injusticia discursiva y la corrección de la injusticia epistémica son fenómenos parcialmente independientes que pueden avanzar a ritmos distintos y en direcciones distintas por subcaso. Ningún indicador monocanal puede capturar esta disociación. La arquitectura multi-indicador del framework CFH —que los índices DIS e IEI sintetizan— es metodológicamente necesaria para describir la complejidad del reconocimiento en contextos de justicia transicional.</w:t>
      </w:r>
    </w:p>
    <w:p>
      <w:pPr>
        <w:jc w:val="both"/>
        <w:spacing w:after="160" w:line="340"/>
      </w:pPr>
      <w:r>
        <w:rPr>
          <w:sz w:val="24"/>
          <w:szCs w:val="24"/>
          <w:b/>
          <w:color w:val="0D2137"/>
        </w:rPr>
        <w:t xml:space="preserve">5.14 Indicadores Beach (2021): y₁₂ registro léxico, y₁₃ verbos atributivos, y₁₄ evidenciales</w:t>
      </w:r>
    </w:p>
    <w:p>
      <w:pPr>
        <w:jc w:val="both"/>
        <w:spacing w:after="160" w:line="340"/>
      </w:pPr>
      <w:r>
        <w:rPr>
          <w:sz w:val="22"/>
          <w:szCs w:val="22"/>
        </w:rPr>
        <w:t xml:space="preserve">Tabla 5.15. y₁₂, y₁₃, y₁₄ — Beach et al. (2021) adaptado al español jurídico. A: n=777 bloques (50 docs). B: n=315 bloques. C: n=150 bloques (5 subcasos). Corpus A: y₁₂=0.136, y₁₃=0.270, y₁₄=0.557 | Corpus B: y₁₂=0.479, y₁₃=0.058, y₁₄=0.503 | Corpus C: y₁₂_v2=ver subcasos, y₁₃=0.103, y₁₄=0.503. Todos significativos p&lt;0.001 (Mann-Whitney U bilateral A vs B).</w:t>
      </w:r>
    </w:p>
    <w:p>
      <w:pPr>
        <w:jc w:val="both"/>
        <w:spacing w:after="160" w:line="340"/>
      </w:pPr>
      <w:r>
        <w:rPr>
          <w:sz w:val="22"/>
          <w:szCs w:val="22"/>
        </w:rPr>
        <w:t xml:space="preserve">Los tres indicadores de Beach et al. (2021) —quotes sospechosos (y₁₂), verbos atributivos (y₁₃) y evidenciales (y₁₄)— operacionalizan la injusticia testimonial en el nivel léxico-sintáctico, complementando los indicadores semánticos y₈/y₉ que operacionalizan la injusticia hermenéutica. Los tres son estadísticamente significativos A vs B (p&lt;0.001 Mann-Whitney U bilateral).</w:t>
      </w:r>
    </w:p>
    <w:p>
      <w:pPr>
        <w:jc w:val="both"/>
        <w:spacing w:after="160" w:line="340"/>
      </w:pPr>
      <w:r>
        <w:rPr>
          <w:sz w:val="22"/>
          <w:szCs w:val="22"/>
        </w:rPr>
        <w:t xml:space="preserve">El hallazgo más robusto es y₁₃ verbos atributivos: A=0.270 vs B=0.058 (4.6× mayor en justicia ordinaria). La justicia ordinaria usa significativamente más verbos de baja credibilidad —"alegó", "pretendió", "adujo", "supuestamente"— para referirse a declaraciones de las víctimas, mientras la JEP escrita adopta un registro más neutro-alto. Este resultado es coherente con la injusticia testimonial descrita por Fricker (2007): el léxico atributivo de la justicia ordinaria incorpora el credibility discount directamente en la gramática del relato judicial.</w:t>
      </w:r>
    </w:p>
    <w:p>
      <w:pPr>
        <w:jc w:val="both"/>
        <w:spacing w:after="160" w:line="340"/>
      </w:pPr>
      <w:r>
        <w:rPr>
          <w:sz w:val="22"/>
          <w:szCs w:val="22"/>
        </w:rPr>
        <w:t xml:space="preserve">y₁₂ quotes: A=0.136 vs B=0.479. El Corpus B cita directamente más que el Corpus A, lo que refleja la práctica JEP de transcribir testimonios de comparecientes y víctimas. Para el Corpus C oral, y₁₂ se operacionaliza como registro léxico MAFAPO vs militar (y₁₂_v2), dado que las transcripciones automáticas (Whisper) no preservan marcadores tipográficos de cita. Los resultados por subcaso revelan: Dabeiba (prop_MAFAPO=0.821) y Catatumbo (0.736) usan más vocabulario del campo semántico de las víctimas que Casanare (0.416), que tiene la mayor densidad de vocabulario militar del corpus C (398 palabras militares vs 201 MAFAPO).</w:t>
      </w:r>
    </w:p>
    <w:p>
      <w:pPr>
        <w:jc w:val="both"/>
        <w:spacing w:after="160" w:line="340"/>
      </w:pPr>
      <w:r>
        <w:rPr>
          <w:sz w:val="22"/>
          <w:szCs w:val="22"/>
        </w:rPr>
        <w:t xml:space="preserve">El hallazgo más importante de y₁₂_v2 es la disociación de dos niveles en Catatumbo: prop_MAFAPO=0.736 (segundo más alto — usa vocabulario de víctimas en superficie) pero y₈=0.207 (el más distante semánticamente del corpus C). El Capitán, subcaso Catatumbo usa las palabras del campo semántico de las víctimas —"hijo", "familia", "civil", "madre"— pero su discurso, medido a nivel de embedding profundo, permanece el más alejado del centroide MAFAPO. En términos de Fricker (2007), adopta el vocabulario superficial de los hermeneutical resources de las víctimas sin adoptar su estructura semántica subyacente. Esta disociación léxico-semántica es el hallazgo más sofisticado del análisis verbal del Corpus C.</w:t>
      </w:r>
    </w:p>
    <w:p>
      <w:pPr>
        <w:jc w:val="both"/>
        <w:spacing w:after="160" w:line="340"/>
      </w:pPr>
      <w:r>
        <w:rPr>
          <w:sz w:val="24"/>
          <w:szCs w:val="24"/>
          <w:b/>
          <w:color w:val="0D2137"/>
        </w:rPr>
        <w:t xml:space="preserve">5.15 ICM tri-canal v2 — canal verbal mejorado con y₁₂</w:t>
      </w:r>
    </w:p>
    <w:p>
      <w:pPr>
        <w:jc w:val="both"/>
        <w:spacing w:after="160" w:line="340"/>
      </w:pPr>
      <w:r>
        <w:rPr>
          <w:sz w:val="22"/>
          <w:szCs w:val="22"/>
        </w:rPr>
        <w:t xml:space="preserve">Tabla 5.16. ICM tri-canal v2 por subcaso. ICM_verbal_v2 = 0.60×ICM_verbal_v1(y₈) + 0.40×y₁₂_prop_MAFAPO. ICM_tri_v2 = 0.40×facial + 0.40×vocal + 0.20×verbal_v2. Casanare: Tri_v2=0.355 | Catatumbo: Tri_v2=0.295 | Dabeiba: Tri_v2=0.490 | Huila: Tri_v2=0.421.</w:t>
      </w:r>
    </w:p>
    <w:p>
      <w:pPr>
        <w:jc w:val="both"/>
        <w:spacing w:after="160" w:line="340"/>
      </w:pPr>
      <w:r>
        <w:rPr>
          <w:sz w:val="22"/>
          <w:szCs w:val="22"/>
        </w:rPr>
        <w:t xml:space="preserve">El ICM tri-canal v2 integra la dimensión léxico-superficial (y₁₂) con la dimensión semántico-profunda (y₈) en el canal verbal. El ranking se mantiene respecto a la v1: Catatumbo sigue siendo el subcaso de menor congruencia tri-canal (0.295), Dabeiba el mayor (0.490). Sin embargo, Catatumbo sube de 0.236 a 0.295 porque y₁₂ reconoce que el Capitán, subcaso Catatumbo sí usa vocabulario de víctimas en superficie —matiz que la v1 no capturaba. La mejora es metodológicamente importante: el ICM_verbal_v2 distingue entre adoptar el vocabulario (y₁₂ alto) y adoptar la semántica profunda (y₈ bajo), dos dimensiones de la corrección hermenéutica que pueden disociarse —como ocurre paradigmáticamente en Catatumbo.</w:t>
      </w:r>
    </w:p>
    <w:p>
      <w:pPr>
        <w:jc w:val="both"/>
        <w:spacing w:after="80" w:line="340"/>
      </w:pPr>
      <w:r>
        <w:rPr>
          <w:sz w:val="20"/>
          <w:szCs w:val="20"/>
          <w:i/>
          <w:color w:val="2E4057"/>
        </w:rPr>
        <w:t xml:space="preserve">Beach, M. C., et al. (2021). Testimonial Injustice: Linguistic Bias in the Medical Records of Black Patients and Women. Journal of General Internal Medicine.</w:t>
      </w:r>
    </w:p>
    <w:p>
      <w:pPr>
        <w:jc w:val="both"/>
        <w:spacing w:after="80" w:line="340"/>
      </w:pPr>
      <w:r>
        <w:rPr>
          <w:sz w:val="20"/>
          <w:szCs w:val="20"/>
          <w:i/>
          <w:color w:val="2E4057"/>
        </w:rPr>
        <w:t xml:space="preserve">Andrews, S., et al. (2023). Intersectionality and Testimonial Injustice in Medical Records. ACL Clinical NLP Workshop.</w:t>
      </w:r>
    </w:p>
    <w:p>
      <w:pPr>
        <w:spacing w:after="200" w:before="480"/>
      </w:pPr>
      <w:r>
        <w:rPr>
          <w:rFonts w:ascii="Times New Roman" w:cs="Times New Roman" w:eastAsia="Times New Roman" w:hAnsi="Times New Roman"/>
          <w:b/>
          <w:bCs/>
          <w:color w:val="000000"/>
          <w:sz w:val="22"/>
          <w:szCs w:val="22"/>
        </w:rPr>
        <w:t xml:space="preserve">Referencias del capítulo</w:t>
      </w:r>
    </w:p>
    <w:p>
      <w:pPr>
        <w:spacing w:after="120"/>
        <w:ind w:left="720" w:hanging="720"/>
        <w:jc w:val="both"/>
      </w:pPr>
      <w:r>
        <w:rPr>
          <w:rFonts w:ascii="Times New Roman" w:cs="Times New Roman" w:eastAsia="Times New Roman" w:hAnsi="Times New Roman"/>
          <w:color w:val="000000"/>
          <w:sz w:val="20"/>
          <w:szCs w:val="20"/>
        </w:rPr>
        <w:t xml:space="preserve">Baird, A. y Coutinho, E. (2019). Sincerity in Acted Speech: The Sincere Apology Corpus (SinA-C). INTERSPEECH 2019.</w:t>
      </w:r>
    </w:p>
    <w:p>
      <w:pPr>
        <w:spacing w:after="120"/>
        <w:ind w:left="720" w:hanging="720"/>
        <w:jc w:val="both"/>
      </w:pPr>
      <w:r>
        <w:rPr>
          <w:rFonts w:ascii="Times New Roman" w:cs="Times New Roman" w:eastAsia="Times New Roman" w:hAnsi="Times New Roman"/>
          <w:color w:val="000000"/>
          <w:sz w:val="20"/>
          <w:szCs w:val="20"/>
        </w:rPr>
        <w:t xml:space="preserve">Bredin, H., et al. (2023). pyannote.audio 2.1 speaker diarization pipeline. ICASSP 2023.</w:t>
      </w:r>
    </w:p>
    <w:p>
      <w:pPr>
        <w:spacing w:after="120"/>
        <w:ind w:left="720" w:hanging="720"/>
        <w:jc w:val="both"/>
      </w:pPr>
      <w:r>
        <w:rPr>
          <w:rFonts w:ascii="Times New Roman" w:cs="Times New Roman" w:eastAsia="Times New Roman" w:hAnsi="Times New Roman"/>
          <w:color w:val="000000"/>
          <w:sz w:val="20"/>
          <w:szCs w:val="20"/>
        </w:rPr>
        <w:t xml:space="preserve">Igolkina, A. A. y Meshcheryakov, G. (2020). semopy: A Python package for Structural Equation Models. arXiv:2003.05838.</w:t>
      </w:r>
    </w:p>
    <w:p>
      <w:pPr>
        <w:spacing w:after="120"/>
        <w:ind w:left="720" w:hanging="720"/>
        <w:jc w:val="both"/>
      </w:pPr>
      <w:r>
        <w:rPr>
          <w:rFonts w:ascii="Times New Roman" w:cs="Times New Roman" w:eastAsia="Times New Roman" w:hAnsi="Times New Roman"/>
          <w:color w:val="000000"/>
          <w:sz w:val="20"/>
          <w:szCs w:val="20"/>
        </w:rPr>
        <w:t xml:space="preserve">JEP. (2022). Resolución de Conclusiones No. 01 y 03 de 2022 — Caso 03. SRVR.</w:t>
      </w:r>
    </w:p>
    <w:p>
      <w:pPr>
        <w:spacing w:after="120"/>
        <w:ind w:left="720" w:hanging="720"/>
        <w:jc w:val="both"/>
      </w:pPr>
      <w:r>
        <w:rPr>
          <w:rFonts w:ascii="Times New Roman" w:cs="Times New Roman" w:eastAsia="Times New Roman" w:hAnsi="Times New Roman"/>
          <w:color w:val="000000"/>
          <w:sz w:val="20"/>
          <w:szCs w:val="20"/>
        </w:rPr>
        <w:t xml:space="preserve">MAFAPO. (2021). Unidas por la Memoria y la Verdad. OIM / Embajada de Suecia.</w:t>
      </w:r>
    </w:p>
    <w:p>
      <w:pPr>
        <w:spacing w:after="120"/>
        <w:ind w:left="720" w:hanging="720"/>
        <w:jc w:val="both"/>
      </w:pPr>
      <w:r>
        <w:rPr>
          <w:rFonts w:ascii="Times New Roman" w:cs="Times New Roman" w:eastAsia="Times New Roman" w:hAnsi="Times New Roman"/>
          <w:color w:val="000000"/>
          <w:sz w:val="20"/>
          <w:szCs w:val="20"/>
        </w:rPr>
        <w:t xml:space="preserve">Mann, H. B. y Whitney, D. R. (1947). On a test of whether one of two random variables is stochastically larger than the other. Annals of Mathematical Statistics, 18(1), 50–60.</w:t>
      </w:r>
    </w:p>
    <w:p>
      <w:pPr>
        <w:spacing w:after="120"/>
        <w:ind w:left="720" w:hanging="720"/>
        <w:jc w:val="both"/>
      </w:pPr>
      <w:r>
        <w:rPr>
          <w:rFonts w:ascii="Times New Roman" w:cs="Times New Roman" w:eastAsia="Times New Roman" w:hAnsi="Times New Roman"/>
          <w:color w:val="000000"/>
          <w:sz w:val="20"/>
          <w:szCs w:val="20"/>
        </w:rPr>
        <w:t xml:space="preserve">Lugaresi, C., et al. (2023). MediaPipe: A Framework for Perceiving and Processing Reality. CVPR Workshop.</w:t>
      </w:r>
    </w:p>
    <w:p>
      <w:pPr>
        <w:spacing w:after="120"/>
        <w:ind w:left="720" w:hanging="720"/>
        <w:jc w:val="both"/>
      </w:pPr>
      <w:r>
        <w:rPr>
          <w:rFonts w:ascii="Times New Roman" w:cs="Times New Roman" w:eastAsia="Times New Roman" w:hAnsi="Times New Roman"/>
          <w:color w:val="000000"/>
          <w:sz w:val="20"/>
          <w:szCs w:val="20"/>
        </w:rPr>
        <w:t xml:space="preserve">Scientific Reports. (2024). The nonverbal expression of guilt in healthy adults. Nature, vol. 14, art. 10607.</w:t>
      </w:r>
    </w:p>
    <w:p>
      <w:pPr>
        <w:spacing w:after="120"/>
        <w:ind w:left="720" w:hanging="720"/>
        <w:jc w:val="both"/>
      </w:pPr>
      <w:r>
        <w:rPr>
          <w:rFonts w:ascii="Times New Roman" w:cs="Times New Roman" w:eastAsia="Times New Roman" w:hAnsi="Times New Roman"/>
          <w:color w:val="000000"/>
          <w:sz w:val="20"/>
          <w:szCs w:val="20"/>
        </w:rPr>
        <w:t xml:space="preserve">Yang, W., et al. (2023). ConfliBERT-Spanish. IEEE CiSt 2023.</w:t>
      </w:r>
    </w:p>
    <w:p>
      <w:pPr>
        <w:spacing w:after="120"/>
        <w:ind w:left="720" w:hanging="720"/>
        <w:jc w:val="both"/>
      </w:pPr>
      <w:r>
        <w:rPr>
          <w:rFonts w:ascii="Times New Roman" w:cs="Times New Roman" w:eastAsia="Times New Roman" w:hAnsi="Times New Roman"/>
          <w:color w:val="000000"/>
          <w:sz w:val="20"/>
          <w:szCs w:val="20"/>
        </w:rPr>
        <w:t xml:space="preserve">Zehr, H. (2002). The Little Book of Restorative Justice. Good Books.</w:t>
      </w:r>
    </w:p>
    <w:sectPr>
      <w:headerReference w:type="default" r:id="rId7"/>
      <w:footerReference w:type="default" r:id="rId8"/>
      <w:pgSz w:w="11906" w:h="16838" w:orient="portrait"/>
      <w:pgMar w:top="2268" w:right="1701" w:bottom="2268"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Times New Roman" w:cs="Times New Roman" w:eastAsia="Times New Roman" w:hAnsi="Times New Roman"/>
        <w:i/>
        <w:iCs/>
        <w:color w:val="595959"/>
        <w:sz w:val="20"/>
        <w:szCs w:val="20"/>
      </w:rPr>
      <w:t xml:space="preserve">Hermenéutica Forense Computacional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Times New Roman" w:cs="Times New Roman" w:eastAsia="Times New Roman" w:hAnsi="Times New Roman"/>
      <w:b/>
      <w:bCs/>
      <w:color w:val="0D2137"/>
      <w:sz w:val="28"/>
      <w:szCs w:val="28"/>
    </w:rPr>
  </w:style>
  <w:style w:type="paragraph" w:styleId="Heading2">
    <w:name w:val="Heading 2"/>
    <w:basedOn w:val="Normal"/>
    <w:next w:val="Normal"/>
    <w:qFormat/>
    <w:pPr>
      <w:spacing w:after="180" w:before="36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spacing w:after="140" w:before="280"/>
      <w:outlineLvl w:val="2"/>
    </w:pPr>
    <w:rPr>
      <w:rFonts w:ascii="Times New Roman" w:cs="Times New Roman" w:eastAsia="Times New Roman" w:hAnsi="Times New Roman"/>
      <w:b/>
      <w:bCs/>
      <w:i/>
      <w:i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2026-04-15T23:11:45.629Z</dcterms:created>
  <dcterms:modified xsi:type="dcterms:W3CDTF">2026-04-15T23:11:45.630Z</dcterms:modified>
</cp:coreProperties>
</file>

<file path=docProps/custom.xml><?xml version="1.0" encoding="utf-8"?>
<Properties xmlns="http://schemas.openxmlformats.org/officeDocument/2006/custom-properties" xmlns:vt="http://schemas.openxmlformats.org/officeDocument/2006/docPropsVTypes"/>
</file>