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  <w:outlineLvl w:val="0"/>
      </w:pPr>
      <w:r>
        <w:rPr>
          <w:rFonts w:ascii="Times New Roman" w:cs="Times New Roman" w:eastAsia="Times New Roman" w:hAnsi="Times New Roman"/>
          <w:b/>
          <w:bCs/>
          <w:color w:val="0D2137"/>
          <w:sz w:val="28"/>
          <w:szCs w:val="28"/>
        </w:rPr>
        <w:t xml:space="preserve">5. Resultados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Este capítulo presenta los resultados del análisis cuantitativo del corpus CFH organizados en tres capas: Capa 1 léxica (indicadores de violencia discursiva, accountability, hedging y léxico emocional), Capa 2 semántica (distancias MAFAPO/CIDH, REP Score, control temporal y análisis de senderos), y Capa 3 multimodal (diarización del Corpus C — en proceso). Los resultados de CFH-BERT v2 se presentan en §5.5.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 Descripción del corpus procesado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1400"/>
        <w:gridCol w:w="4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Bloques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1994–2021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Consejo de Estado — reparación directa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A-CSJ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2012–2020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Corte Suprema Sala Penal — casación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B-JEP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2.678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2021–2024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Autos y resoluciones SRVR — Macrocaso 003 (≥200 ✓)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C-JEP oral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2022–2024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Audiencias JEP — 45.9h | 1.17M chars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4.085+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1994–2024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A + B escrito + C oral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5.1. Corpus CFH — descripción por subsistema.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5.2 Capa 1 — Indicadores léxicos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5.2.1 Accountability y persona gramatical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accountability_score — ratio de construcciones de primera persona activa vs. pasivas/impersonales — es significativamente mayor en el Corpus B (B=0.946, A=0.907). La diferencia más marcada se encuentra en RESUELVE/DECISIÓN: en el Corpus A la DECISIÓN tiene accountability=0.864, mientras que en el Corpus B el RESUELVE alcanza 0.942. La JEP produce decisiones con mayor densidad de lenguaje que atribuye responsabilidad directa.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5.2.2 Hedging — evasión epistémica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hedging_density — marcadores de evasión epistémica por 100 palabras — es A=0.061 vs B=0.054. Aunque globalmente similar, el análisis por sección revela un patrón estratégico: en el Corpus B el hedging es máximo en HECHOS_Y_CONDUCTAS (0.132) y mínimo en RECONOCIMIENTO (0.082). La JEP usa hedging para reconocer incertidumbre probatoria en el establecimiento de hechos, pero mantiene lenguaje más categórico en las secciones de reconocimiento de responsabilidad.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5.2.3 Léxico emocional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500"/>
        <w:gridCol w:w="27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Dimensión emocional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Interpretación CFH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Culpa / responsabilidad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&gt; A ✓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JEP nombra más la responsabilidad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Tristeza / sufrimiento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 B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describe el sufrimiento; B lo procesa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Ira / confrontación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&gt;&gt; B ✓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confrontacional; B restaurativo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Confianza / derecho / garantía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 B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invoca principios jurídicos genéricos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Violencia institucional (eufemismos)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 B ✓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usa más eufemismos militares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Balance víctimas (índice compuesto)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0.656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 &gt; A ✓✓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JEP más orientada al lenguaje de las víctimas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5.2. Léxico emocional Corpus A vs B — 6 dimensiones. Lexicón NRC adaptado al español judicial.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balance_victimas (B=0.656 vs A=0.569) es el hallazgo más relevante del léxico emocional: el Corpus B está significativamente más orientado al lenguaje de las víctimas que al lenguaje de la violencia institucional. La diferencia más marcada es en ira (A=0.122 vs B=0.018): la justicia ordinaria tiene un léxico notablemente más confrontacional. El léxico de culpa es el único donde B supera a A (0.275 vs 0.251), confirmando que la JEP produce más lenguaje de responsabilidad directa.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5.2.4 SA Score (y₂) y NV Score (y₄)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SA Score no difiere significativamente entre los dos sistemas (A=0.885, B=0.913, p=0.934 n.s.) — es transversal al lenguaje jurídico-institucional colombiano. El NV Score es ligeramente mayor en el Corpus A (A=0.239, B=0.233, p=0.028 *). La correlación entre NV y REP es r=−0.082 — operan en dimensiones independientes.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5.3 Capa 2 — REP Score (y₁₀)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REP Score del Corpus B (media=0.153) es significativamente mayor que el del Corpus A (media=0.086), con una brecha de +0.067 y p&lt;0.001 (***). La sección RECONOCIMIENTO del Corpus B presenta el REP más alto (media=0.191, máx=0.849). La sección PATRONES_MACROCRIMINALES tiene REP=0.000 en todas sus instancias — usa lenguaje analítico-descriptivo, no performativo.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5.4 Capa 2 — Distancias semánticas y₈ y y₉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1200"/>
        <w:gridCol w:w="1000"/>
        <w:gridCol w:w="11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 A vs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 A vs C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y₈ Dist. MAFAPO (↓=más cercano)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p=0.0004 ***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p&lt;0.001 ***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B=C &lt;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y₉ Dist. CIDH (↓=más cercano)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&lt; A &lt; C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5.3. Distancias semánticas y₈ y y₉ — ConfliBERT-Spanish. *** p&lt;0.001.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Corpus B (JEP escrito) y el Corpus C (JEP oral) están igualmente cercanos al lenguaje de MAFAPO (y₈=0.191 en ambos). Para y₉ CIDH, el Corpus C oral (0.263) es más alejado que el Corpus A (0.254): los comparecientes hablan desde la experiencia vivida, no desde el derecho internacional. Eso es teóricamente coherente con Zehr (2002).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5.5 CFH-BERT v2 — clasificador IO con weighted loss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1100"/>
        <w:gridCol w:w="1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macro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REP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EBI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NV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 (BIO, 9 clases)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v2 (IO, 5 clases)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 (v2−v1)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+0.31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+0.06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+0.05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+0.04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+0.28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+0.05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5.4. CFH-BERT v1 vs v2. n=100 anotaciones. Mejora más significativa en NV (+0.28) por weighted loss.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5.6 Brecha discursiva — evidencia integrada A vs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200"/>
        <w:gridCol w:w="1100"/>
        <w:gridCol w:w="23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p-valor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Accountability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&gt;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Ira / confrontación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&gt;&gt; B ✓ (B más restaurativo)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Balance víctimas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&gt;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y₄ NV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0.028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 B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y₁₀ REP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&gt;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y₃ Dist. léxico civil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&lt;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y₈ Dist. MAFAPO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p=0.0004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&lt;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y₉ Dist. CIDH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&lt;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y₂ SA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0.934 n.s.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transversal al género jurídico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5.5. Evidencia integrada A vs B — 9 indicadores CFH Capas 1 y 2. * p&lt;0.05  *** p&lt;0.001  n.s. no significativo.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Ocho de nueve indicadores son significativos en la dirección predicha. El único no significativo es y₂ SA — confirmando su carácter transversal. La convergencia de seis indicadores con p&lt;0.001 constituye evidencia robusta y multimodal de la brecha discursiva entre la justicia ordinaria y la JEP.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5.7 Control temporal y análisis de senderos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5.7.1 Control temporal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 2018-2023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p-valor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y₁₀ REP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0.139 n.s.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Brecha parcialmente temporal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y₄ NV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0.293 n.s.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Brecha parcialmente temporal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y₈ Dist. MAFAPO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p=0.001 ***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Brecha ESTRUCTURAL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y₉ Dist. CIDH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Brecha ESTRUCTURAL ✓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5.6. Control temporal — A 2018-2023 vs B.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5.7.2 Análisis de senderos exploratorio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400"/>
        <w:gridCol w:w="2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p-valor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y₁₀ REP ← y₃ civil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−5.337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Predictor más fuerte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y₁₀ REP ← y₂ 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 coexiste con REP en JEP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y₁₀ REP ← y₄ 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NV coexiste con REP en Corpus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y₈ MAFAPO ← y₃ civil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−0.836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y₃ predice cercanía a MAFAPO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y₉ CIDH ← y₃ civil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−0.489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y₃ predice cercanía a la CIDH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5.7. Path analysis exploratorio — CFI=0.619, RMSEA=0.437, n=873.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predictor más fuerte de la transición epistémica es y₃ distancia léxico-civil (β=−5.337, p&lt;0.001): la proximidad léxica al lenguaje de las víctimas civiles es el principal predictor del reconocimiento en el corpus CFH.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5.8 Capa 3 — Diarización y análisis semántico Corpus 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000"/>
        <w:gridCol w:w="1000"/>
        <w:gridCol w:w="1200"/>
        <w:gridCol w:w="1200"/>
        <w:gridCol w:w="1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Segmentos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y₈ MAFAPO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y₉ CIDH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Catatumbo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9.5h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115K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4.535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0.207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0.271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Costa Caribe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10.5h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255K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~2.659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0.189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0.259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Casanare — Torres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248K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0.193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Dabeiba — Antioquia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287K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0.189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0.262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Huila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10.5h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267K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6.281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0.186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0.263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Corpus 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38.1h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1.17M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~16.673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0.191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0.263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5.9. Corpus C — resultados por subcaso. y₈ y y₉ calculados con ConfliBERT-Spanish sobre 588 bloques. Verde = subcasos más cercanos a las víctimas.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análisis semántico del Corpus C revela diferencias importantes entre subcasos. Huila (y₈=0.186) y Costa Caribe/Dabeiba (y₈=0.189) son los subcasos más cercanos semánticamente al lenguaje de las víctimas de MAFAPO, mientras que Catatumbo (y₈=0.207) es el más distante — coincidentemente el subcaso con mayor porcentaje de silencio en el audio (gaps en minutos 240-330). La media del Corpus C (y₈=0.191) es idéntica a la del Corpus B escrito, confirmando que el lenguaje oral de las audiencias JEP está igualmente cercano a las víctimas que el lenguaje escrito formal. Para y₉ CIDH, todos los subcasos están más alejados que el Corpus B escrito (0.235), lo que es teóricamente coherente: los comparecientes hablan desde la experiencia vivida, no desde el lenguaje técnico-jurídico del derecho internacional humanitario.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5.9 Capa 3 — ICM facial: Action Units por subcaso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Capa 3 multimodal del framework CFH extrae Action Units (AUs) faciales de los comparecientes en las audiencias de reconocimiento, utilizando MediaPipe FaceLandmarker sobre los segmentos de audio diarizados. Los AUs se mapean a los seis indicadores del ICM: AU1 (browInnerUp — angustia/preocupación interna), AU4 (browDownLeft — ceño fruncido), AU6 (eyeSquintLeft — contracción orbital, asociada a sonrisa genuina Duchenne), AU12 (mouthSmileLeft — comisura labial), AU15 (mouthFrownLeft — tristeza/dolor), y AU17 (mouthShrugLower — labio inferior, duda/tristeza). Los segmentos faciales corresponden al speaker compareciente identificado por diarización en cada audiencia.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800"/>
        <w:gridCol w:w="900"/>
        <w:gridCol w:w="900"/>
        <w:gridCol w:w="900"/>
        <w:gridCol w:w="900"/>
        <w:gridCol w:w="900"/>
        <w:gridCol w:w="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Segs.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 det.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AU1 angustia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AU4 ceño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AU6 squint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AU12 sonrisa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AU15 tristeza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ICM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Casanare (Torres)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0.002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0.190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Catatumbo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0.011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0.272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Dabeiba — Antioquia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0.008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0.292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Huila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0.002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0.300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5.10. ICM facial por audiencia — MediaPipe FaceLandmarker sobre segmentos diarizados del compareciente. ICM score = distress/(distress+sonrisa). Mayor ICM = más genuino.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análisis facial revela patrones diferenciados entre subcasos. Casanare (Torres Escalante) presenta el ICM más bajo (0.190) — la sonrisa domina sobre el distress facial, lo que sugiere un reconocimiento con mayor componente performativo. Esto es coherente con el perfil de Torres Escalante: general de mayor rango, con mayor experiencia en comunicación institucional formal. Catatumbo (ICM=0.272) presenta el AU15 más alto (0.011) — la mayor expresión de tristeza/dolor del corpus, lo que podría reflejar la gravedad particular de los crímenes en esa región. Dabeiba y Huila presentan los ICM más altos (0.292 y 0.300) — expresión más contenida y AU4 elevado (ceño fruncido), lo que en la literatura de psicología forense se asocia con esfuerzo cognitivo y rememoración genuina (Scientific Reports, 2024).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detección facial varía significativamente entre audiencias: Casanare tiene la mejor tasa (780/903 = 86%), mientras que Dabeiba tiene la más baja (104/424 = 25%), probablemente por el ángulo de cámara. Esta heterogeneidad de detección es una limitación metodológica que se reporta explícitamente y que afecta la comparabilidad inter-audiencia. Los resultados de Dabeiba deben interpretarse con cautela.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1"/>
              <w:left w:val="single" w:color="F59E0B" w:sz="6"/>
              <w:bottom w:val="single" w:color="F59E0B" w:sz="1"/>
              <w:right w:val="single" w:color="F59E0B" w:sz="1"/>
            </w:tcBorders>
            <w:shd w:fill="FE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92400E"/>
                <w:sz w:val="22"/>
                <w:szCs w:val="22"/>
              </w:rPr>
              <w:t xml:space="preserve">⚠ PENDIENTE versión final: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92400E"/>
                <w:sz w:val="22"/>
                <w:szCs w:val="22"/>
              </w:rPr>
              <w:t xml:space="preserve">ICM completo pendiente de: (1) integración canal vocal eGeMAPS (shimmer, jitter, F0) para triangulación verbal+vocal+facial, (2) identificación definitiva de speakers comparecientes en Catatumbo/Dabeiba/Huila mediante revisión de frames, (3) video Costa Caribe — URL alternativa sin DRM.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0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Referencias del capítulo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Baird, A. y Coutinho, E. (2019). Sincerity in Acted Speech: The Sincere Apology Corpus (SinA-C). INTERSPEECH 2019.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Bredin, H., et al. (2023). pyannote.audio 2.1 speaker diarization pipeline. ICASSP 2023.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Igolkina, A. A. y Meshcheryakov, G. (2020). semopy: A Python package for Structural Equation Models. arXiv:2003.05838.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JEP. (2022). Resolución de Conclusiones No. 01 y 03 de 2022 — Caso 03. SRVR.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MAFAPO. (2021). Unidas por la Memoria y la Verdad. OIM / Embajada de Suecia.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Mann, H. B. y Whitney, D. R. (1947). On a test of whether one of two random variables is stochastically larger than the other. Annals of Mathematical Statistics, 18(1), 50–60.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Lugaresi, C., et al. (2023). MediaPipe: A Framework for Perceiving and Processing Reality. CVPR Workshop.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Scientific Reports. (2024). The nonverbal expression of guilt in healthy adults. Nature, vol. 14, art. 10607.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Yang, W., et al. (2023). ConfliBERT-Spanish. IEEE CiSt 2023.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Zehr, H. (2002). The Little Book of Restorative Justice. Good Books.</w:t>
      </w:r>
    </w:p>
    <w:sectPr>
      <w:headerReference w:type="default" r:id="rId7"/>
      <w:footerReference w:type="default" r:id="rId8"/>
      <w:pgSz w:w="11906" w:h="16838" w:orient="portrait"/>
      <w:pgMar w:top="2268" w:right="1701" w:bottom="2268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95959"/>
        <w:sz w:val="20"/>
        <w:szCs w:val="20"/>
      </w:rPr>
      <w:t xml:space="preserve">Hermenéutica Forense Computacional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Times New Roman" w:cs="Times New Roman" w:eastAsia="Times New Roman" w:hAnsi="Times New Roman"/>
      <w:b/>
      <w:bCs/>
      <w:color w:val="0D21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2026-04-15T00:28:20.125Z</dcterms:created>
  <dcterms:modified xsi:type="dcterms:W3CDTF">2026-04-15T00:28:20.126Z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