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4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 la investigación, organizado en seis componentes interrelacionados: el diseño general del estudio, la descripción del corpus, el pipeline de ingesta y procesamiento, la taxonomía de anotación, el modelo SEM y los protocolos de validación. Cada componente es tanto una decisión metodológica como una contribución técnica: el pipeline, la taxonomía y el modelo constituyen la infraestructura computacional de la CFH, diseñada para ser reproducible y extensible a otros contextos de análisis de archivos judiciales.</w:t>
      </w:r>
    </w:p>
    <w:p>
      <w:pPr>
        <w:spacing w:after="120"/>
      </w:pPr>
      <w:r>
        <w:rPr>
          <w:rFonts w:ascii="Times New Roman" w:cs="Times New Roman" w:eastAsia="Times New Roman" w:hAnsi="Times New Roman"/>
          <w:color w:val="000000"/>
          <w:sz w:val="24"/>
          <w:szCs w:val="24"/>
        </w:rPr>
        <w:t xml:space="preserve"/>
      </w:r>
    </w:p>
    <w:p>
      <w:pPr>
        <w:pStyle w:val="Heading2"/>
        <w:spacing w:before="360" w:after="18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término cuasi-experimental refleja la imposibilidad de asignar aleatoriamente los documentos judiciales a condiciones de tratamiento: los corpus ya existen como archivo histórico y su composición está determinada por el sistema judicial colombiano, no por la investigación. Sin embargo, la comparación sistemática entre corpus con características institucionales distintas permite inferencias sobre los factores que predicen la injusticia discursiva.</w:t>
      </w:r>
    </w:p>
    <w:p>
      <w:pPr>
        <w:spacing w:after="200" w:line="360" w:lineRule="auto"/>
        <w:ind w:firstLine="720"/>
        <w:jc w:val="both"/>
      </w:pPr>
      <w:r>
        <w:rPr>
          <w:rFonts w:ascii="Times New Roman" w:cs="Times New Roman" w:eastAsia="Times New Roman" w:hAnsi="Times New Roman"/>
          <w:color w:val="000000"/>
          <w:sz w:val="24"/>
          <w:szCs w:val="24"/>
        </w:rPr>
        <w:t xml:space="preserve">El diseño contrasta tres grupos de documentos que representan tres condiciones de producción textual distintas, ordenadas cronológicamente y por sistema de justicia:</w:t>
      </w:r>
    </w:p>
    <w:p>
      <w:pPr>
        <w:pStyle w:val="ListParagraph"/>
        <w:numPr>
          <w:ilvl w:val="0"/>
          <w:numId w:val="2"/>
        </w:numPr>
        <w:spacing w:after="120"/>
        <w:jc w:val="both"/>
      </w:pPr>
      <w:r>
        <w:rPr>
          <w:rFonts w:ascii="Times New Roman" w:cs="Times New Roman" w:eastAsia="Times New Roman" w:hAnsi="Times New Roman"/>
          <w:sz w:val="24"/>
          <w:szCs w:val="24"/>
        </w:rPr>
        <w:t xml:space="preserve">Grupo 1 — Justicia ordinaria (Corpus A): sentencias del Consejo de Estado y la Corte Suprema de Justicia, producidas entre 1994 y 2021. Representan el lenguaje del sistema judicial colombiano previo y contemporáneo a la JEP.</w:t>
      </w:r>
    </w:p>
    <w:p>
      <w:pPr>
        <w:pStyle w:val="ListParagraph"/>
        <w:numPr>
          <w:ilvl w:val="0"/>
          <w:numId w:val="2"/>
        </w:numPr>
        <w:spacing w:after="120"/>
        <w:jc w:val="both"/>
      </w:pPr>
      <w:r>
        <w:rPr>
          <w:rFonts w:ascii="Times New Roman" w:cs="Times New Roman" w:eastAsia="Times New Roman" w:hAnsi="Times New Roman"/>
          <w:sz w:val="24"/>
          <w:szCs w:val="24"/>
        </w:rPr>
        <w:t xml:space="preserve">Grupo 2 — Justicia transicional escrita (Corpus B): autos de determinación de hechos y conductas y resoluciones de conclusiones de la JEP, producidos entre 2018 y 2023. Representan el lenguaje del sistema transicional en su dimensión escrita.</w:t>
      </w:r>
    </w:p>
    <w:p>
      <w:pPr>
        <w:pStyle w:val="ListParagraph"/>
        <w:numPr>
          <w:ilvl w:val="0"/>
          <w:numId w:val="2"/>
        </w:numPr>
        <w:spacing w:after="120"/>
        <w:jc w:val="both"/>
      </w:pPr>
      <w:r>
        <w:rPr>
          <w:rFonts w:ascii="Times New Roman" w:cs="Times New Roman" w:eastAsia="Times New Roman" w:hAnsi="Times New Roman"/>
          <w:sz w:val="24"/>
          <w:szCs w:val="24"/>
        </w:rPr>
        <w:t xml:space="preserve">Grupo 3 — Justicia transicional oral (Corpus C): transcripciones de audiencias públicas de reconocimiento de la JEP, producidas entre 2022 y 2023. Representan el lenguaje transicional en su dimensión oral y dialógica.</w:t>
      </w:r>
    </w:p>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—y no solo retórica— entonces el DIS Score debe ser significativamente menor en los grupos 2 y 3 que en el grupo 1, y el indicador de Transición Epistémica (η₂) debe ser significativamente mayor. La hipótesis central H₃ predice que esa diferencia es estadísticamente significativa y estructuralmente estable.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multi-grupo (MG-SEM) permite adicionalmente evaluar si el modelo SEM presenta invarianza de medición entre los tres grupos, es decir, si los indicadores miden las mismas construcciones latentes con la misma métrica en los tres contextos institucionales. Esta evaluación es necesaria para que las comparaciones entre grupos sean interpretables.</w:t>
      </w:r>
    </w:p>
    <w:p>
      <w:pPr>
        <w:spacing w:after="120"/>
      </w:pPr>
      <w:r>
        <w:rPr>
          <w:rFonts w:ascii="Times New Roman" w:cs="Times New Roman" w:eastAsia="Times New Roman" w:hAnsi="Times New Roman"/>
          <w:color w:val="000000"/>
          <w:sz w:val="24"/>
          <w:szCs w:val="24"/>
        </w:rPr>
        <w:t xml:space="preserve"/>
      </w:r>
    </w:p>
    <w:p>
      <w:pPr>
        <w:pStyle w:val="Heading2"/>
        <w:spacing w:before="360" w:after="180"/>
        <w:outlineLvl w:val="1"/>
      </w:pPr>
      <w:r>
        <w:rPr>
          <w:rFonts w:ascii="Times New Roman" w:cs="Times New Roman" w:eastAsia="Times New Roman" w:hAnsi="Times New Roman"/>
          <w:b/>
          <w:bCs/>
          <w:color w:val="000000"/>
          <w:sz w:val="26"/>
          <w:szCs w:val="26"/>
        </w:rPr>
        <w:t xml:space="preserve">4.2 Descripción del corpus</w:t>
      </w:r>
    </w:p>
    <w:p>
      <w:pPr>
        <w:pStyle w:val="Heading3"/>
        <w:spacing w:before="280" w:after="14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Para garantizar la representatividad del corpus respecto a los dos sistemas de la justicia ordinaria que más produjo jurisprudencia sobre falsos positivos, el Corpus A se subdivide en dos subsistemas.</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426"/>
      </w:tblGrid>
      <w:tr>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16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N documentos</w:t>
            </w:r>
          </w:p>
        </w:tc>
        <w:tc>
          <w:tcPr>
            <w:tcW w:type="dxa" w:w="18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Período</w:t>
            </w:r>
          </w:p>
        </w:tc>
        <w:tc>
          <w:tcPr>
            <w:tcW w:type="dxa" w:w="3426"/>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(CE) — Sección Tercera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1994–2021</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de Justicia (CSJ) — Sala de Casación Penal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2012–2020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 LA CORTE, DECISIÓN</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Total Corpus A</w:t>
            </w:r>
          </w:p>
        </w:tc>
        <w:tc>
          <w:tcPr>
            <w:tcW w:type="dxa" w:w="1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331</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1994–2021</w:t>
            </w:r>
          </w:p>
        </w:tc>
        <w:tc>
          <w:tcPr>
            <w:tcW w:type="dxa" w:w="3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291 JSONs únicos procesados (90% confianza alta)</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El subsistema CE incluye sentencias de reparación directa de la Sección Tercera del Consejo de Estado, que conoció de las acciones de responsabilidad extracontractual del Estado por muerte de civiles en operaciones militares. Estos documentos representan el lenguaje contencioso-administrativo: más formal, más distante de los hechos, con énfasis en la falla del servicio y los criterios de responsabilidad del Estado.</w:t>
      </w:r>
    </w:p>
    <w:p>
      <w:pPr>
        <w:spacing w:after="200" w:line="360" w:lineRule="auto"/>
        <w:ind w:firstLine="720"/>
        <w:jc w:val="both"/>
      </w:pPr>
      <w:r>
        <w:rPr>
          <w:rFonts w:ascii="Times New Roman" w:cs="Times New Roman" w:eastAsia="Times New Roman" w:hAnsi="Times New Roman"/>
          <w:color w:val="000000"/>
          <w:sz w:val="24"/>
          <w:szCs w:val="24"/>
        </w:rPr>
        <w:t xml:space="preserve">El subsistema CSJ incluye sentencias de casación penal (SP) y autos de segunda instancia (AP) de la Sala de Casación Penal, que conoció de los recursos interpuestos contra condenas por homicidio en persona protegida. Estos documentos representan el lenguaje penal: más próximo a los hechos, con secciones específicas como los Hechos Jurídicamente Relevantes y los Cargos, donde coexisten el lenguaje militar original y el lenguaje de los derechos humanos.</w:t>
      </w:r>
    </w:p>
    <w:p>
      <w:pPr>
        <w:pStyle w:val="Heading3"/>
        <w:spacing w:before="280" w:after="14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de Responsabilidad y de Determinación de los Hechos y Conductas (SRVR) de la JEP, en el marco del Macrocaso 003. La selección prioriza los documentos de mayor densidad analítica: los autos de determinación de hechos y conductas y las resoluciones de conclusiones, que contienen la calificación jurídica más desarrollada y los reconocimientos de responsabilidad más completos.</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326"/>
      </w:tblGrid>
      <w:tr>
        <w:tc>
          <w:tcPr>
            <w:tcW w:type="dxa" w:w="35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1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Año</w:t>
            </w:r>
          </w:p>
        </w:tc>
        <w:tc>
          <w:tcPr>
            <w:tcW w:type="dxa" w:w="4326"/>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005/2018 — Apertura Caso 03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2018</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Nacional — apertura y priorización inicial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033/2021 — Priorización de subcasos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2021</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Nacional — 6 zonas geográficas priorizadas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Hechos y conductas Norte Santander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 Santander (Catatumbo) — 120 víctimas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Hechos y conductas Costa Caribe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2021</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 (Norte del Cesar, Sur de La Guajira)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Subcaso Casanare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2022</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Resolución Conclusiones Norte Santander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2022</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 Santander — 11 comparecientes, 120 víctimas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Resolución Conclusiones Costa Caribe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2022</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 — 15 comparecientes (Bat. La Popa)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ADHC julio 2023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2023</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Nacional — actualización universo de víctimas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Antioquia (Montoya)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2023</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Subcaso Huila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2023</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determinación de hechos y conductas</w:t>
            </w:r>
          </w:p>
        </w:tc>
      </w:tr>
      <w:tr>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Total Corpus B</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10</w:t>
            </w:r>
          </w:p>
        </w:tc>
        <w:tc>
          <w:tcPr>
            <w:tcW w:type="dxa" w:w="4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58 secciones target | 2 Resoluciones de Conclusiones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Resolución de Conclusiones No. 3 (RC-03/2022) es el documento más rico analíticamente: con 31 secciones totales y 27 secciones target, contiene reconocimientos individuales de responsabilidad de los 15 comparecientes del Batallón de Artillería No. 2 «La Popa», calificaciones jurídicas detalladas y propuestas de sanción restaurativa. Su densidad de indicadores REP la convierte en el documento con mayor potencial para el cálculo de η₂.</w:t>
      </w:r>
    </w:p>
    <w:p>
      <w:pPr>
        <w:pStyle w:val="Heading3"/>
        <w:spacing w:before="280" w:after="14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transcripciones de las audiencias públicas de reconocimiento de verdad y de responsabilidad celebradas en el marco del Macrocaso 003. Estas audiencias representan la dimensión oral y dialógica del proceso transicional: son los momentos en que los comparecientes hablan directamente ante las víctimas y la sociedad, en voz propia, asumiendo responsabilidad por sus crímenes.</w:t>
      </w:r>
    </w:p>
    <w:p>
      <w:pPr>
        <w:spacing w:after="200" w:line="360" w:lineRule="auto"/>
        <w:ind w:firstLine="720"/>
        <w:jc w:val="both"/>
      </w:pPr>
      <w:r>
        <w:rPr>
          <w:rFonts w:ascii="Times New Roman" w:cs="Times New Roman" w:eastAsia="Times New Roman" w:hAnsi="Times New Roman"/>
          <w:color w:val="000000"/>
          <w:sz w:val="24"/>
          <w:szCs w:val="24"/>
        </w:rPr>
        <w:t xml:space="preserve">Dado el volumen del material audiovisual disponible —más de 600 horas de grabación— el Corpus C es una muestra estratificada de entre 20 y 30 videos de las audiencias de reconocimiento de los subcasos Norte de Santander (Ocaña, abril 2022) y Costa Caribe, seleccionados para representar tanto comparecientes de alto rango como de menor jerarquía, y tanto intervenciones de comparecientes como de víctimas. Las transcripciones se producen mediante reconocimiento automático del habla con Whisper (OpenAI, 2022) en variante español colombiano.</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 el único que activa el indicador y₁₂ (features acústicas mediante OpenSMILE/eGeMAPS): el análisis de prosodia, tono y marcadores de tensión emocional en las declaraciones orales, que complementa el análisis textual con una dimensión multimodal. Para los corpus A y B, y₁₂ = 0.</w:t>
      </w:r>
    </w:p>
    <w:p>
      <w:pPr>
        <w:spacing w:after="120"/>
      </w:pPr>
      <w:r>
        <w:rPr>
          <w:rFonts w:ascii="Times New Roman" w:cs="Times New Roman" w:eastAsia="Times New Roman" w:hAnsi="Times New Roman"/>
          <w:color w:val="000000"/>
          <w:sz w:val="24"/>
          <w:szCs w:val="24"/>
        </w:rPr>
        <w:t xml:space="preserve"/>
      </w:r>
    </w:p>
    <w:p>
      <w:pPr>
        <w:pStyle w:val="Heading2"/>
        <w:spacing w:before="360" w:after="18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es la infraestructura computacional que transforma los documentos judiciales en bruto —archivos .doc, .docx, .pdf—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w:t>
      </w:r>
    </w:p>
    <w:p>
      <w:pPr>
        <w:pStyle w:val="Heading3"/>
        <w:spacing w:before="280" w:after="140"/>
        <w:outlineLvl w:val="2"/>
      </w:pPr>
      <w:r>
        <w:rPr>
          <w:rFonts w:ascii="Times New Roman" w:cs="Times New Roman" w:eastAsia="Times New Roman" w:hAnsi="Times New Roman"/>
          <w:b/>
          <w:bCs/>
          <w:i/>
          <w:iCs/>
          <w:color w:val="000000"/>
          <w:sz w:val="24"/>
          <w:szCs w:val="24"/>
        </w:rPr>
        <w:t xml:space="preserve">4.3.1 Módulo de limpieza (cleaner.py)</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limpieza aplica siete pasos determinísticos de normalización textual: normalización de codificación a UTF-8, eliminación de caracteres de control, normalización tipográfica (guiones, comillas), corrección de errores OCR específicos al dominio judicial colombiano (20 reglas calibradas sobre el corpus), normalización de espacios en blanco, eliminación de encabezados y pies de página repetitivos, y normalización de mayúsculas donde corresponde. Cada paso genera una entrada en el registro de transformaciones del documento.</w:t>
      </w:r>
    </w:p>
    <w:p>
      <w:pPr>
        <w:spacing w:after="200" w:line="360" w:lineRule="auto"/>
        <w:ind w:firstLine="720"/>
        <w:jc w:val="both"/>
      </w:pPr>
      <w:r>
        <w:rPr>
          <w:rFonts w:ascii="Times New Roman" w:cs="Times New Roman" w:eastAsia="Times New Roman" w:hAnsi="Times New Roman"/>
          <w:color w:val="000000"/>
          <w:sz w:val="24"/>
          <w:szCs w:val="24"/>
        </w:rPr>
        <w:t xml:space="preserve">Las 20 reglas de corrección OCR fueron derivadas empíricamente del análisis de errores frecuentes en las digitalizaciones del Consejo Superior de la Judicatura y el corpus JEP. Incluyen correcciones de caracteres confundidos frecuentemente en documentos escaneados de baja resolución: «I» mayúscula → «l» minúscula entre letras, «0» → «o» entre letras, ligaduras rotas en «fi», «fl», «ff».</w:t>
      </w:r>
    </w:p>
    <w:p>
      <w:pPr>
        <w:pStyle w:val="Heading3"/>
        <w:spacing w:before="280" w:after="140"/>
        <w:outlineLvl w:val="2"/>
      </w:pPr>
      <w:r>
        <w:rPr>
          <w:rFonts w:ascii="Times New Roman" w:cs="Times New Roman" w:eastAsia="Times New Roman" w:hAnsi="Times New Roman"/>
          <w:b/>
          <w:bCs/>
          <w:i/>
          <w:iCs/>
          <w:color w:val="000000"/>
          <w:sz w:val="24"/>
          <w:szCs w:val="24"/>
        </w:rPr>
        <w:t xml:space="preserve">4.3.2 Módulo de metadatos (metadata.py)</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metadatos extrae cuatro categorías de información estructurada de la cabecera de cada documento: tribunal emisor, número de radicado, fecha de expedición y tipo de providencia. La extracción utiliza expresiones regulares calibradas para los tres subsistemas del corpus:</w:t>
      </w:r>
    </w:p>
    <w:p>
      <w:pPr>
        <w:pStyle w:val="ListParagraph"/>
        <w:numPr>
          <w:ilvl w:val="0"/>
          <w:numId w:val="2"/>
        </w:numPr>
        <w:spacing w:after="120"/>
        <w:jc w:val="both"/>
      </w:pPr>
      <w:r>
        <w:rPr>
          <w:rFonts w:ascii="Times New Roman" w:cs="Times New Roman" w:eastAsia="Times New Roman" w:hAnsi="Times New Roman"/>
          <w:sz w:val="24"/>
          <w:szCs w:val="24"/>
        </w:rPr>
        <w:t xml:space="preserve">CE (Consejo de Estado): radicados con formato NNNNN-NN-NN-NNN-AAAA-NNNNN-NN(NNNNNN), identificación de secciones y subsecciones.</w:t>
      </w:r>
    </w:p>
    <w:p>
      <w:pPr>
        <w:pStyle w:val="ListParagraph"/>
        <w:numPr>
          <w:ilvl w:val="0"/>
          <w:numId w:val="2"/>
        </w:numPr>
        <w:spacing w:after="120"/>
        <w:jc w:val="both"/>
      </w:pPr>
      <w:r>
        <w:rPr>
          <w:rFonts w:ascii="Times New Roman" w:cs="Times New Roman" w:eastAsia="Times New Roman" w:hAnsi="Times New Roman"/>
          <w:sz w:val="24"/>
          <w:szCs w:val="24"/>
        </w:rPr>
        <w:t xml:space="preserve">CSJ (Corte Suprema): radicados con formato SP/AP-NNNN-AAAA(NNNNNN), identificación de Sala de Casación Penal vs. otras salas.</w:t>
      </w:r>
    </w:p>
    <w:p>
      <w:pPr>
        <w:pStyle w:val="ListParagraph"/>
        <w:numPr>
          <w:ilvl w:val="0"/>
          <w:numId w:val="2"/>
        </w:numPr>
        <w:spacing w:after="120"/>
        <w:jc w:val="both"/>
      </w:pPr>
      <w:r>
        <w:rPr>
          <w:rFonts w:ascii="Times New Roman" w:cs="Times New Roman" w:eastAsia="Times New Roman" w:hAnsi="Times New Roman"/>
          <w:sz w:val="24"/>
          <w:szCs w:val="24"/>
        </w:rPr>
        <w:t xml:space="preserve">JEP: radicados alfanuméricos, identificación del auto o resolución por número y año.</w:t>
      </w:r>
    </w:p>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El módulo asigna a cada documento una puntuación de confianza de extracción (0–1) basada en cuántos de los cuatro campos fueron identificados exitosamente. El corpus procesado alcanza una confianza promedio de 90% (298/331 documentos con confianza ≥ 50%), con los casos de baja confianza correspondientes principalmente a documentos con cabeceras atípicas o muy deterioradas por digitalización.</w:t>
      </w:r>
    </w:p>
    <w:p>
      <w:pPr>
        <w:pStyle w:val="Heading3"/>
        <w:spacing w:before="280" w:after="140"/>
        <w:outlineLvl w:val="2"/>
      </w:pPr>
      <w:r>
        <w:rPr>
          <w:rFonts w:ascii="Times New Roman" w:cs="Times New Roman" w:eastAsia="Times New Roman" w:hAnsi="Times New Roman"/>
          <w:b/>
          <w:bCs/>
          <w:i/>
          <w:iCs/>
          <w:color w:val="000000"/>
          <w:sz w:val="24"/>
          <w:szCs w:val="24"/>
        </w:rPr>
        <w:t xml:space="preserve">4.3.3 Módulo de segmentación (segmenter.py)</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mediante reconocimiento de patrones de marcadores de sección específicos por subsistema. El segmentador garantiza cobertura total: todo el texto queda asignado a alguna sección, sin pérdida de contenido. El diseño es conservador: ante la ambigüedad, un segmento se asigna a una sección genérica «CUERPO» en lugar de a una sección target incorrecta.</w:t>
      </w:r>
    </w:p>
    <w:p>
      <w:pPr>
        <w:spacing w:after="200" w:line="360" w:lineRule="auto"/>
        <w:ind w:firstLine="720"/>
        <w:jc w:val="both"/>
      </w:pPr>
      <w:r>
        <w:rPr>
          <w:rFonts w:ascii="Times New Roman" w:cs="Times New Roman" w:eastAsia="Times New Roman" w:hAnsi="Times New Roman"/>
          <w:color w:val="000000"/>
          <w:sz w:val="24"/>
          <w:szCs w:val="24"/>
        </w:rPr>
        <w:t xml:space="preserve">Las secciones target —las unidades analíticas sobre las que operan los extractores de características— varían por subsistema: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c>
          <w:tcPr>
            <w:tcW w:type="dxa" w:w="20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3526"/>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c>
          <w:tcPr>
            <w:tcW w:type="dxa" w:w="35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Relevancia CFH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Alta densidad EBI/SA en HECHOS; NV en CONSIDERACIONES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CSJ</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 LA CORTE, DECISIÓN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Coexistencia EBI/REP en CARGOS; calificación jurídica en CONSIDERACIONES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escrita</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HECHOS_Y_CONDUCTAS, PATRONES_MACROCRIMINALES, CALIFICACION_JURIDICA, RECONOCIMIENTO, RESUELVE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Alta densidad REP en RECONOCIMIENTO; tensión discursiva máxima en CALIFICACION_JURIDICA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oral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TESTIMONIO_COMPARECIENTE, TESTIMONIO_VICTIMA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pura + features acústicas (y₁₂)</w:t>
            </w:r>
          </w:p>
        </w:tc>
      </w:tr>
    </w:tbl>
    <w:p>
      <w:pPr>
        <w:spacing w:after="120"/>
      </w:pPr>
      <w:r>
        <w:rPr>
          <w:rFonts w:ascii="Times New Roman" w:cs="Times New Roman" w:eastAsia="Times New Roman" w:hAnsi="Times New Roman"/>
          <w:color w:val="000000"/>
          <w:sz w:val="24"/>
          <w:szCs w:val="24"/>
        </w:rPr>
        <w:t xml:space="preserve"/>
      </w:r>
    </w:p>
    <w:p>
      <w:pPr>
        <w:pStyle w:val="Heading3"/>
        <w:spacing w:before="280" w:after="140"/>
        <w:outlineLvl w:val="2"/>
      </w:pPr>
      <w:r>
        <w:rPr>
          <w:rFonts w:ascii="Times New Roman" w:cs="Times New Roman" w:eastAsia="Times New Roman" w:hAnsi="Times New Roman"/>
          <w:b/>
          <w:bCs/>
          <w:i/>
          <w:iCs/>
          <w:color w:val="000000"/>
          <w:sz w:val="24"/>
          <w:szCs w:val="24"/>
        </w:rPr>
        <w:t xml:space="preserve">4.3.4 Tecnologías de conversión</w:t>
      </w:r>
    </w:p>
    <w:p>
      <w:pPr>
        <w:spacing w:after="200" w:line="360" w:lineRule="auto"/>
        <w:ind w:firstLine="720"/>
        <w:jc w:val="both"/>
      </w:pPr>
      <w:r>
        <w:rPr>
          <w:rFonts w:ascii="Times New Roman" w:cs="Times New Roman" w:eastAsia="Times New Roman" w:hAnsi="Times New Roman"/>
          <w:color w:val="000000"/>
          <w:sz w:val="24"/>
          <w:szCs w:val="24"/>
        </w:rPr>
        <w:t xml:space="preserve">El corpus en bruto incluye documentos en múltiples formatos que requieren estrategias de conversión diferenciadas. Los archivos .doc (formato Legacy Word) se convierten a texto plano mediante LibreOffice en modo headless. Los archivos .docx se procesan con la biblioteca python-docx. Los archivos PDF con texto seleccionable (generados digitalmente) se procesan con pdfminer.six. Los archivos PDF escaneados —sin texto seleccionable— se someten a reconocimiento óptico de caracteres (OCR) mediante Tesseract v5.5 con el modelo entrenado para español (spa.traineddata), aplicando una resolución de 300 DPI para garantizar calidad de extracción adecuada.</w:t>
      </w:r>
    </w:p>
    <w:p>
      <w:pPr>
        <w:spacing w:after="120"/>
      </w:pPr>
      <w:r>
        <w:rPr>
          <w:rFonts w:ascii="Times New Roman" w:cs="Times New Roman" w:eastAsia="Times New Roman" w:hAnsi="Times New Roman"/>
          <w:color w:val="000000"/>
          <w:sz w:val="24"/>
          <w:szCs w:val="24"/>
        </w:rPr>
        <w:t xml:space="preserve"/>
      </w:r>
    </w:p>
    <w:p>
      <w:pPr>
        <w:pStyle w:val="Heading2"/>
        <w:spacing w:before="360" w:after="18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before="280" w:after="140"/>
        <w:outlineLvl w:val="2"/>
      </w:pPr>
      <w:r>
        <w:rPr>
          <w:rFonts w:ascii="Times New Roman" w:cs="Times New Roman" w:eastAsia="Times New Roman" w:hAnsi="Times New Roman"/>
          <w:b/>
          <w:bCs/>
          <w:i/>
          <w:iCs/>
          <w:color w:val="000000"/>
          <w:sz w:val="24"/>
          <w:szCs w:val="24"/>
        </w:rPr>
        <w:t xml:space="preserve">4.4.1 Las cuatro categorías de la Taxonomía CFH</w:t>
      </w:r>
    </w:p>
    <w:p>
      <w:pPr>
        <w:spacing w:after="200" w:line="360" w:lineRule="auto"/>
        <w:ind w:firstLine="720"/>
        <w:jc w:val="both"/>
      </w:pPr>
      <w:r>
        <w:rPr>
          <w:rFonts w:ascii="Times New Roman" w:cs="Times New Roman" w:eastAsia="Times New Roman" w:hAnsi="Times New Roman"/>
          <w:color w:val="000000"/>
          <w:sz w:val="24"/>
          <w:szCs w:val="24"/>
        </w:rPr>
        <w:t xml:space="preserve">La Taxonomía CFH define cuatro categorías de anotación semántica que operacionalizan los mecanismos de violencia discursiva y reconocimiento identificados en el marco teórico. La unidad de anotación es el span: una secuencia contigua de tokens que expresa un único mecanismo discursivo. Las cuatro categorías son mutuamente excluyentes a nivel de token: cada token recibe exactamente una etiqueta en el esquema BIO (Beginning-Inside-Outside).</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000"/>
        <w:gridCol w:w="4026"/>
      </w:tblGrid>
      <w:tr>
        <w:tc>
          <w:tcPr>
            <w:tcW w:type="dxa" w:w="1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Símbolo</w:t>
            </w:r>
          </w:p>
        </w:tc>
        <w:tc>
          <w:tcPr>
            <w:tcW w:type="dxa" w:w="30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4026"/>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EBI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SA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NV</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REP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before="280" w:after="140"/>
        <w:outlineLvl w:val="2"/>
      </w:pPr>
      <w:r>
        <w:rPr>
          <w:rFonts w:ascii="Times New Roman" w:cs="Times New Roman" w:eastAsia="Times New Roman" w:hAnsi="Times New Roman"/>
          <w:b/>
          <w:bCs/>
          <w:i/>
          <w:iCs/>
          <w:color w:val="000000"/>
          <w:sz w:val="24"/>
          <w:szCs w:val="24"/>
        </w:rPr>
        <w:t xml:space="preserve">4.4.2 Protocolo de acuerdo inter-anotador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un protocolo de anotación doble-ciega sobre una muestra de 100 fragmentos del corpus (50 del Corpus A y 50 del Corpus B), estratificados por subsistema y sección target. Dos anotadores independientes —la autora y un segundo anotador entrenado— anotan los mismos fragmentos sin ver las anotaciones del otro, utilizando Label Studio como herramienta de anotación.</w:t>
      </w:r>
    </w:p>
    <w:p>
      <w:pPr>
        <w:spacing w:after="200" w:line="360" w:lineRule="auto"/>
        <w:ind w:firstLine="720"/>
        <w:jc w:val="both"/>
      </w:pPr>
      <w:r>
        <w:rPr>
          <w:rFonts w:ascii="Times New Roman" w:cs="Times New Roman" w:eastAsia="Times New Roman" w:hAnsi="Times New Roman"/>
          <w:color w:val="000000"/>
          <w:sz w:val="24"/>
          <w:szCs w:val="24"/>
        </w:rPr>
        <w:t xml:space="preserve">El acuerdo inter-anotador se mide mediante el coeficiente Cohen κ, que corrige el acuerdo observado por el acuerdo esperado por azar. El umbral mínimo aceptable para esta investigación es κ &gt; 0.80, correspondiente a un acuerdo excelente según la escala de Landis y Koch (1977). Un resultado inferior a este umbral activa un protocolo de adjudicación: sesión conjunta de revisión de casos en desacuerdo, actualización de las reglas de desambiguación del protocolo, y re-anotación de los fragmentos afectados.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9488" w:sz="2"/>
              <w:left w:val="single" w:color="0D9488" w:sz="6"/>
              <w:bottom w:val="single" w:color="0D9488" w:sz="2"/>
              <w:right w:val="none"/>
            </w:tcBorders>
            <w:shd w:fill="E8F5F3" w:val="clear"/>
            <w:tcMar>
              <w:top w:type="dxa" w:w="120"/>
              <w:left w:type="dxa" w:w="200"/>
              <w:bottom w:type="dxa" w:w="120"/>
              <w:right w:type="dxa" w:w="120"/>
            </w:tcMar>
          </w:tcPr>
          <w:p>
            <w:pPr>
              <w:spacing w:after="80"/>
            </w:pPr>
            <w:r>
              <w:rPr>
                <w:rFonts w:ascii="Times New Roman" w:cs="Times New Roman" w:eastAsia="Times New Roman" w:hAnsi="Times New Roman"/>
                <w:b/>
                <w:bCs/>
                <w:color w:val="0D9488"/>
                <w:sz w:val="22"/>
                <w:szCs w:val="22"/>
              </w:rPr>
              <w:t xml:space="preserve">Fórmula 4.1 — Coeficiente Cohen κ</w:t>
            </w:r>
          </w:p>
          <w:p>
            <w:pPr>
              <w:spacing w:after="0"/>
              <w:jc w:val="both"/>
            </w:pPr>
            <w:r>
              <w:rPr>
                <w:rFonts w:ascii="Times New Roman" w:cs="Times New Roman" w:eastAsia="Times New Roman" w:hAnsi="Times New Roman"/>
                <w:color w:val="000000"/>
                <w:sz w:val="22"/>
                <w:szCs w:val="22"/>
              </w:rPr>
              <w:t xml:space="preserve">κ = (Po − Pe) / (1 − Pe), donde Po es la proporción observada de acuerdo y Pe es la proporción esperada de acuerdo por azar, calculada como la suma de los productos de las proporciones marginales de cada categoría.</w:t>
            </w:r>
          </w:p>
        </w:tc>
      </w:tr>
    </w:tbl>
    <w:p>
      <w:pPr>
        <w:spacing w:after="120"/>
      </w:pPr>
      <w:r>
        <w:rPr>
          <w:rFonts w:ascii="Times New Roman" w:cs="Times New Roman" w:eastAsia="Times New Roman" w:hAnsi="Times New Roman"/>
          <w:color w:val="000000"/>
          <w:sz w:val="24"/>
          <w:szCs w:val="24"/>
        </w:rPr>
        <w:t xml:space="preserve"/>
      </w:r>
    </w:p>
    <w:p>
      <w:pPr>
        <w:pStyle w:val="Heading2"/>
        <w:spacing w:before="360" w:after="180"/>
        <w:outlineLvl w:val="1"/>
      </w:pPr>
      <w:r>
        <w:rPr>
          <w:rFonts w:ascii="Times New Roman" w:cs="Times New Roman" w:eastAsia="Times New Roman" w:hAnsi="Times New Roman"/>
          <w:b/>
          <w:bCs/>
          <w:color w:val="000000"/>
          <w:sz w:val="26"/>
          <w:szCs w:val="26"/>
        </w:rPr>
        <w:t xml:space="preserve">4.5 Extracción de características y modelo SEM</w:t>
      </w:r>
    </w:p>
    <w:p>
      <w:pPr>
        <w:pStyle w:val="Heading3"/>
        <w:spacing w:before="280" w:after="14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de características utiliza ConfliBERT-Spanish (Yang et al., 2023) como modelo de lenguaje base. ConfliBERT-Spanish es un modelo BERT preentrenado específicamente en corpus de conflicto político y violencia armada en español, mediante aprendizaje no supervisado por modelamiento de lenguaje enmascarado (MLM). A diferencia de modelos genéricos como BETO o mBERT, ConfliBERT-Spanish ha sido expuesto durante el preentrenamiento a vocabulario específico del análisis de conflictos —incluyendo terminología militar, jurídica y de derechos humanos— lo que lo hace especialmente adecuado para detectar los mecanismos de la Taxonomía CFH en el corpus judicial colombiano.</w:t>
      </w:r>
    </w:p>
    <w:p>
      <w:pPr>
        <w:spacing w:after="200" w:line="360" w:lineRule="auto"/>
        <w:ind w:firstLine="720"/>
        <w:jc w:val="both"/>
      </w:pPr>
      <w:r>
        <w:rPr>
          <w:rFonts w:ascii="Times New Roman" w:cs="Times New Roman" w:eastAsia="Times New Roman" w:hAnsi="Times New Roman"/>
          <w:color w:val="000000"/>
          <w:sz w:val="24"/>
          <w:szCs w:val="24"/>
        </w:rPr>
        <w:t xml:space="preserve">El modelo se ejecuta en modo de inferencia (sin fine-tuning inicial) para la extracción de los indicadores y₁ a y₁₁. El fine-tuning supervisado de dominio (CFH-BERT) se aplica en una etapa posterior, utilizando el corpus anotado con la Taxonomía CFH una vez alcanzado el umbral κ &gt; 0.80.</w:t>
      </w:r>
    </w:p>
    <w:p>
      <w:pPr>
        <w:pStyle w:val="Heading3"/>
        <w:spacing w:before="280" w:after="140"/>
        <w:outlineLvl w:val="2"/>
      </w:pPr>
      <w:r>
        <w:rPr>
          <w:rFonts w:ascii="Times New Roman" w:cs="Times New Roman" w:eastAsia="Times New Roman" w:hAnsi="Times New Roman"/>
          <w:b/>
          <w:bCs/>
          <w:i/>
          <w:iCs/>
          <w:color w:val="000000"/>
          <w:sz w:val="24"/>
          <w:szCs w:val="24"/>
        </w:rPr>
        <w:t xml:space="preserve">4.5.2 Cálculo de los once indicadores observables</w:t>
      </w:r>
    </w:p>
    <w:p>
      <w:pPr>
        <w:spacing w:after="200" w:line="360" w:lineRule="auto"/>
        <w:ind w:firstLine="720"/>
        <w:jc w:val="both"/>
      </w:pPr>
      <w:r>
        <w:rPr>
          <w:rFonts w:ascii="Times New Roman" w:cs="Times New Roman" w:eastAsia="Times New Roman" w:hAnsi="Times New Roman"/>
          <w:color w:val="000000"/>
          <w:sz w:val="24"/>
          <w:szCs w:val="24"/>
        </w:rPr>
        <w:t xml:space="preserve">Los once indicadores observables del modelo SEM se extraen mediante los siguientes métodos computacionales:</w:t>
      </w:r>
    </w:p>
    <w:p>
      <w:pPr>
        <w:spacing w:before="200" w:after="80"/>
      </w:pPr>
      <w:r>
        <w:rPr>
          <w:rFonts w:ascii="Times New Roman" w:cs="Times New Roman" w:eastAsia="Times New Roman" w:hAnsi="Times New Roman"/>
          <w:b/>
          <w:bCs/>
          <w:sz w:val="22"/>
          <w:szCs w:val="22"/>
        </w:rPr>
        <w:t xml:space="preserve">Indicadores de ξ₁ (Violencia Discursiva):</w:t>
      </w:r>
    </w:p>
    <w:p>
      <w:pPr>
        <w:pStyle w:val="ListParagraph"/>
        <w:numPr>
          <w:ilvl w:val="0"/>
          <w:numId w:val="2"/>
        </w:numPr>
        <w:spacing w:after="120"/>
        <w:jc w:val="both"/>
      </w:pPr>
      <w:r>
        <w:rPr>
          <w:rFonts w:ascii="Times New Roman" w:cs="Times New Roman" w:eastAsia="Times New Roman" w:hAnsi="Times New Roman"/>
          <w:sz w:val="24"/>
          <w:szCs w:val="24"/>
        </w:rPr>
        <w:t xml:space="preserve">y₁ — EBI Score: frecuencia normalizada de tokens anotados como EBI por sección, calculada mediante el extractor de ventana deslizante (window=400 tokens, stride=100) con promediado ponderado en zonas de solapamiento. El extractor incluye un normalizador calibrable (EBIScoreNormalizer) con tres estrategias: percentil, z-score y min-max.</w:t>
      </w:r>
    </w:p>
    <w:p>
      <w:pPr>
        <w:pStyle w:val="ListParagraph"/>
        <w:numPr>
          <w:ilvl w:val="0"/>
          <w:numId w:val="2"/>
        </w:numPr>
        <w:spacing w:after="120"/>
        <w:jc w:val="both"/>
      </w:pPr>
      <w:r>
        <w:rPr>
          <w:rFonts w:ascii="Times New Roman" w:cs="Times New Roman" w:eastAsia="Times New Roman" w:hAnsi="Times New Roman"/>
          <w:sz w:val="24"/>
          <w:szCs w:val="24"/>
        </w:rPr>
        <w:t xml:space="preserve">y₂ — SA Score: proporción de construcciones pasivas sin complemento agente, nominalizaciones de acción y sujetos impersonales encubrientes, detectados mediante el clasificador de tokens CFH-BERT fine-tuneado para la categoría SA.</w:t>
      </w:r>
    </w:p>
    <w:p>
      <w:pPr>
        <w:pStyle w:val="ListParagraph"/>
        <w:numPr>
          <w:ilvl w:val="0"/>
          <w:numId w:val="2"/>
        </w:numPr>
        <w:spacing w:after="120"/>
        <w:jc w:val="both"/>
      </w:pPr>
      <w:r>
        <w:rPr>
          <w:rFonts w:ascii="Times New Roman" w:cs="Times New Roman" w:eastAsia="Times New Roman" w:hAnsi="Times New Roman"/>
          <w:sz w:val="24"/>
          <w:szCs w:val="24"/>
        </w:rPr>
        <w:t xml:space="preserve">y₃ — Distancia léxico civil: distancia coseno entre el vector léxico de la sección y un léxico de referencia civil (términos de ciudadanía, familia, trabajo, identidad personal), construido a partir de los testimonios de MAFAPO.</w:t>
      </w:r>
    </w:p>
    <w:p>
      <w:pPr>
        <w:pStyle w:val="ListParagraph"/>
        <w:numPr>
          <w:ilvl w:val="0"/>
          <w:numId w:val="2"/>
        </w:numPr>
        <w:spacing w:after="120"/>
        <w:jc w:val="both"/>
      </w:pPr>
      <w:r>
        <w:rPr>
          <w:rFonts w:ascii="Times New Roman" w:cs="Times New Roman" w:eastAsia="Times New Roman" w:hAnsi="Times New Roman"/>
          <w:sz w:val="24"/>
          <w:szCs w:val="24"/>
        </w:rPr>
        <w:t xml:space="preserve">y₄ — NV Score: frecuencia normalizada de tokens anotados como NV, calculada análogamente a y₁.</w:t>
      </w:r>
    </w:p>
    <w:p>
      <w:pPr>
        <w:spacing w:after="120"/>
      </w:pPr>
      <w:r>
        <w:rPr>
          <w:rFonts w:ascii="Times New Roman" w:cs="Times New Roman" w:eastAsia="Times New Roman" w:hAnsi="Times New Roman"/>
          <w:color w:val="000000"/>
          <w:sz w:val="24"/>
          <w:szCs w:val="24"/>
        </w:rPr>
        <w:t xml:space="preserve"/>
      </w:r>
    </w:p>
    <w:p>
      <w:pPr>
        <w:spacing w:before="200" w:after="80"/>
      </w:pPr>
      <w:r>
        <w:rPr>
          <w:rFonts w:ascii="Times New Roman" w:cs="Times New Roman" w:eastAsia="Times New Roman" w:hAnsi="Times New Roman"/>
          <w:b/>
          <w:bCs/>
          <w:sz w:val="22"/>
          <w:szCs w:val="22"/>
        </w:rPr>
        <w:t xml:space="preserve">Indicadores de ξ₂ (Contexto Institucional):</w:t>
      </w:r>
    </w:p>
    <w:p>
      <w:pPr>
        <w:pStyle w:val="ListParagraph"/>
        <w:numPr>
          <w:ilvl w:val="0"/>
          <w:numId w:val="2"/>
        </w:numPr>
        <w:spacing w:after="120"/>
        <w:jc w:val="both"/>
      </w:pPr>
      <w:r>
        <w:rPr>
          <w:rFonts w:ascii="Times New Roman" w:cs="Times New Roman" w:eastAsia="Times New Roman" w:hAnsi="Times New Roman"/>
          <w:sz w:val="24"/>
          <w:szCs w:val="24"/>
        </w:rPr>
        <w:t xml:space="preserve">y₅ — Tipo de corpus: variable categórica codificada como 0 (Corpus A-CE), 1 (Corpus A-CSJ), 2 (Corpus B JEP escrita), 3 (Corpus C JEP oral). Operacionaliza el sistema de justicia como fuente de variación exógena.</w:t>
      </w:r>
    </w:p>
    <w:p>
      <w:pPr>
        <w:pStyle w:val="ListParagraph"/>
        <w:numPr>
          <w:ilvl w:val="0"/>
          <w:numId w:val="2"/>
        </w:numPr>
        <w:spacing w:after="120"/>
        <w:jc w:val="both"/>
      </w:pPr>
      <w:r>
        <w:rPr>
          <w:rFonts w:ascii="Times New Roman" w:cs="Times New Roman" w:eastAsia="Times New Roman" w:hAnsi="Times New Roman"/>
          <w:sz w:val="24"/>
          <w:szCs w:val="24"/>
        </w:rPr>
        <w:t xml:space="preserve">y₆ — Período normativo: variable continua que codifica el año de expedición del documento, normalizada respecto al rango 1994–2023. Operacionaliza la variable temporal como fuente de variación exógena.</w:t>
      </w:r>
    </w:p>
    <w:p>
      <w:pPr>
        <w:spacing w:after="120"/>
      </w:pPr>
      <w:r>
        <w:rPr>
          <w:rFonts w:ascii="Times New Roman" w:cs="Times New Roman" w:eastAsia="Times New Roman" w:hAnsi="Times New Roman"/>
          <w:color w:val="000000"/>
          <w:sz w:val="24"/>
          <w:szCs w:val="24"/>
        </w:rPr>
        <w:t xml:space="preserve"/>
      </w:r>
    </w:p>
    <w:p>
      <w:pPr>
        <w:spacing w:before="200" w:after="80"/>
      </w:pPr>
      <w:r>
        <w:rPr>
          <w:rFonts w:ascii="Times New Roman" w:cs="Times New Roman" w:eastAsia="Times New Roman" w:hAnsi="Times New Roman"/>
          <w:b/>
          <w:bCs/>
          <w:sz w:val="22"/>
          <w:szCs w:val="22"/>
        </w:rPr>
        <w:t xml:space="preserve">Indicadores de η₁ (DIS Score):</w:t>
      </w:r>
    </w:p>
    <w:p>
      <w:pPr>
        <w:pStyle w:val="ListParagraph"/>
        <w:numPr>
          <w:ilvl w:val="0"/>
          <w:numId w:val="2"/>
        </w:numPr>
        <w:spacing w:after="120"/>
        <w:jc w:val="both"/>
      </w:pPr>
      <w:r>
        <w:rPr>
          <w:rFonts w:ascii="Times New Roman" w:cs="Times New Roman" w:eastAsia="Times New Roman" w:hAnsi="Times New Roman"/>
          <w:sz w:val="24"/>
          <w:szCs w:val="24"/>
        </w:rPr>
        <w:t xml:space="preserve">y₇ — Surprisal: perplejidad promedio del segmento analizado respecto a un modelo de lenguaje de paz (Peace-LM), construido sobre corpus del derecho internacional humanitario y la jurisprudencia de la CIDH. Un surprisal alto indica que el lenguaje del segmento es improbable bajo el modelo de paz — es decir, que es discursivamente distante de la semántica restaurativa.</w:t>
      </w:r>
    </w:p>
    <w:p>
      <w:pPr>
        <w:pStyle w:val="ListParagraph"/>
        <w:numPr>
          <w:ilvl w:val="0"/>
          <w:numId w:val="2"/>
        </w:numPr>
        <w:spacing w:after="120"/>
        <w:jc w:val="both"/>
      </w:pPr>
      <w:r>
        <w:rPr>
          <w:rFonts w:ascii="Times New Roman" w:cs="Times New Roman" w:eastAsia="Times New Roman" w:hAnsi="Times New Roman"/>
          <w:sz w:val="24"/>
          <w:szCs w:val="24"/>
        </w:rPr>
        <w:t xml:space="preserve">y₈ — Distancia MAFAPO: distancia coseno entre el embedding del segmento (promedio de los embeddings de tokens en ConfliBERT-Spanish) y el centroide semántico MAFAPO, construido como promedio de los embeddings de los testimonios de las Madres de Falsos Positivos de Soacha y Bogotá.</w:t>
      </w:r>
    </w:p>
    <w:p>
      <w:pPr>
        <w:pStyle w:val="ListParagraph"/>
        <w:numPr>
          <w:ilvl w:val="0"/>
          <w:numId w:val="2"/>
        </w:numPr>
        <w:spacing w:after="120"/>
        <w:jc w:val="both"/>
      </w:pPr>
      <w:r>
        <w:rPr>
          <w:rFonts w:ascii="Times New Roman" w:cs="Times New Roman" w:eastAsia="Times New Roman" w:hAnsi="Times New Roman"/>
          <w:sz w:val="24"/>
          <w:szCs w:val="24"/>
        </w:rPr>
        <w:t xml:space="preserve">y₉ — Distancia CIDH: distancia coseno entre el embedding del segmento y el centroide semántico CIDH, construido como promedio de los embeddings de las sentencias de la Corte Interamericana de Derechos Humanos sobre ejecuciones extrajudiciales en Colombia.</w:t>
      </w:r>
    </w:p>
    <w:p>
      <w:pPr>
        <w:spacing w:after="120"/>
      </w:pPr>
      <w:r>
        <w:rPr>
          <w:rFonts w:ascii="Times New Roman" w:cs="Times New Roman" w:eastAsia="Times New Roman" w:hAnsi="Times New Roman"/>
          <w:color w:val="000000"/>
          <w:sz w:val="24"/>
          <w:szCs w:val="24"/>
        </w:rPr>
        <w:t xml:space="preserve"/>
      </w:r>
    </w:p>
    <w:p>
      <w:pPr>
        <w:spacing w:before="200" w:after="80"/>
      </w:pPr>
      <w:r>
        <w:rPr>
          <w:rFonts w:ascii="Times New Roman" w:cs="Times New Roman" w:eastAsia="Times New Roman" w:hAnsi="Times New Roman"/>
          <w:b/>
          <w:bCs/>
          <w:sz w:val="22"/>
          <w:szCs w:val="22"/>
        </w:rPr>
        <w:t xml:space="preserve">Indicadores de η₂ (Transición Epistémica):</w:t>
      </w:r>
    </w:p>
    <w:p>
      <w:pPr>
        <w:pStyle w:val="ListParagraph"/>
        <w:numPr>
          <w:ilvl w:val="0"/>
          <w:numId w:val="2"/>
        </w:numPr>
        <w:spacing w:after="120"/>
        <w:jc w:val="both"/>
      </w:pPr>
      <w:r>
        <w:rPr>
          <w:rFonts w:ascii="Times New Roman" w:cs="Times New Roman" w:eastAsia="Times New Roman" w:hAnsi="Times New Roman"/>
          <w:sz w:val="24"/>
          <w:szCs w:val="24"/>
        </w:rPr>
        <w:t xml:space="preserve">y₁₀ — REP Score: frecuencia normalizada de tokens anotados como REP por sección, calculada análogamente a y₁.</w:t>
      </w:r>
    </w:p>
    <w:p>
      <w:pPr>
        <w:pStyle w:val="ListParagraph"/>
        <w:numPr>
          <w:ilvl w:val="0"/>
          <w:numId w:val="2"/>
        </w:numPr>
        <w:spacing w:after="120"/>
        <w:jc w:val="both"/>
      </w:pPr>
      <w:r>
        <w:rPr>
          <w:rFonts w:ascii="Times New Roman" w:cs="Times New Roman" w:eastAsia="Times New Roman" w:hAnsi="Times New Roman"/>
          <w:sz w:val="24"/>
          <w:szCs w:val="24"/>
        </w:rPr>
        <w:t xml:space="preserve">y₁₁ — Convergencia restaurativa: similitud coseno entre el embedding del segmento y el centroide de un léxico restaurativo construido a partir de los documentos JEP de reconocimiento de responsabilidad (autos de resoluciones de conclusiones y actas de audiencias).</w:t>
      </w:r>
    </w:p>
    <w:p>
      <w:pPr>
        <w:pStyle w:val="ListParagraph"/>
        <w:numPr>
          <w:ilvl w:val="0"/>
          <w:numId w:val="2"/>
        </w:numPr>
        <w:spacing w:after="120"/>
        <w:jc w:val="both"/>
      </w:pPr>
      <w:r>
        <w:rPr>
          <w:rFonts w:ascii="Times New Roman" w:cs="Times New Roman" w:eastAsia="Times New Roman" w:hAnsi="Times New Roman"/>
          <w:sz w:val="24"/>
          <w:szCs w:val="24"/>
        </w:rPr>
        <w:t xml:space="preserve">y₁₂ — Features acústicas (solo Corpus C): vector de 88 features eGeMAPS extraídas mediante OpenSMILE del segmento de audio correspondiente, reducido a un escalar mediante PCA. Captura marcadores prosódicos de tensión emocional, arrepentimiento y autenticidad en las declaraciones orales.</w:t>
      </w:r>
    </w:p>
    <w:p>
      <w:pPr>
        <w:spacing w:after="120"/>
      </w:pPr>
      <w:r>
        <w:rPr>
          <w:rFonts w:ascii="Times New Roman" w:cs="Times New Roman" w:eastAsia="Times New Roman" w:hAnsi="Times New Roman"/>
          <w:color w:val="000000"/>
          <w:sz w:val="24"/>
          <w:szCs w:val="24"/>
        </w:rPr>
        <w:t xml:space="preserve"/>
      </w:r>
    </w:p>
    <w:p>
      <w:pPr>
        <w:pStyle w:val="Heading3"/>
        <w:spacing w:before="280" w:after="140"/>
        <w:outlineLvl w:val="2"/>
      </w:pPr>
      <w:r>
        <w:rPr>
          <w:rFonts w:ascii="Times New Roman" w:cs="Times New Roman" w:eastAsia="Times New Roman" w:hAnsi="Times New Roman"/>
          <w:b/>
          <w:bCs/>
          <w:i/>
          <w:iCs/>
          <w:color w:val="000000"/>
          <w:sz w:val="24"/>
          <w:szCs w:val="24"/>
        </w:rPr>
        <w:t xml:space="preserve">4.5.3 Estimación del modelo SEM</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se estima mediante la biblioteca semopy (Igolkina y Meshcheryakov, 2020) en Python 3.11, utilizando el estimador de Máxima Verosimilitud (ML) sobre la matriz de covarianzas de los once indicadores. El ajuste del modelo se evalúa mediante los índices estándar:</w:t>
      </w:r>
    </w:p>
    <w:p>
      <w:pPr>
        <w:pStyle w:val="ListParagraph"/>
        <w:numPr>
          <w:ilvl w:val="0"/>
          <w:numId w:val="2"/>
        </w:numPr>
        <w:spacing w:after="120"/>
        <w:jc w:val="both"/>
      </w:pPr>
      <w:r>
        <w:rPr>
          <w:rFonts w:ascii="Times New Roman" w:cs="Times New Roman" w:eastAsia="Times New Roman" w:hAnsi="Times New Roman"/>
          <w:sz w:val="24"/>
          <w:szCs w:val="24"/>
        </w:rPr>
        <w:t xml:space="preserve">CFI (Comparative Fit Index) ≥ 0.95</w:t>
      </w:r>
    </w:p>
    <w:p>
      <w:pPr>
        <w:pStyle w:val="ListParagraph"/>
        <w:numPr>
          <w:ilvl w:val="0"/>
          <w:numId w:val="2"/>
        </w:numPr>
        <w:spacing w:after="120"/>
        <w:jc w:val="both"/>
      </w:pPr>
      <w:r>
        <w:rPr>
          <w:rFonts w:ascii="Times New Roman" w:cs="Times New Roman" w:eastAsia="Times New Roman" w:hAnsi="Times New Roman"/>
          <w:sz w:val="24"/>
          <w:szCs w:val="24"/>
        </w:rPr>
        <w:t xml:space="preserve">RMSEA (Root Mean Square Error of Approximation) ≤ 0.06</w:t>
      </w:r>
    </w:p>
    <w:p>
      <w:pPr>
        <w:pStyle w:val="ListParagraph"/>
        <w:numPr>
          <w:ilvl w:val="0"/>
          <w:numId w:val="2"/>
        </w:numPr>
        <w:spacing w:after="120"/>
        <w:jc w:val="both"/>
      </w:pPr>
      <w:r>
        <w:rPr>
          <w:rFonts w:ascii="Times New Roman" w:cs="Times New Roman" w:eastAsia="Times New Roman" w:hAnsi="Times New Roman"/>
          <w:sz w:val="24"/>
          <w:szCs w:val="24"/>
        </w:rPr>
        <w:t xml:space="preserve">SRMR (Standardized Root Mean Square Residual) ≤ 0.08</w:t>
      </w:r>
    </w:p>
    <w:p>
      <w:pPr>
        <w:pStyle w:val="ListParagraph"/>
        <w:numPr>
          <w:ilvl w:val="0"/>
          <w:numId w:val="2"/>
        </w:numPr>
        <w:spacing w:after="120"/>
        <w:jc w:val="both"/>
      </w:pPr>
      <w:r>
        <w:rPr>
          <w:rFonts w:ascii="Times New Roman" w:cs="Times New Roman" w:eastAsia="Times New Roman" w:hAnsi="Times New Roman"/>
          <w:sz w:val="24"/>
          <w:szCs w:val="24"/>
        </w:rPr>
        <w:t xml:space="preserve">χ²/gl ≤ 3.0</w:t>
      </w:r>
    </w:p>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significancia del coeficiente β₂₃ (η₁ → η₂) se evalúa mediante bootstrap no paramétrico con 10.000 remuestras, reportando intervalos de confianza al 95% y el p-valor asociado. El análisis multi-grupo (MG-SEM) evalúa la invarianza de medición entre los tres subsistemas de justicia mediante la comparación de modelos anidados: invarianza configural, métrica y escalar.</w:t>
      </w:r>
    </w:p>
    <w:p>
      <w:pPr>
        <w:spacing w:after="120"/>
      </w:pPr>
      <w:r>
        <w:rPr>
          <w:rFonts w:ascii="Times New Roman" w:cs="Times New Roman" w:eastAsia="Times New Roman" w:hAnsi="Times New Roman"/>
          <w:color w:val="000000"/>
          <w:sz w:val="24"/>
          <w:szCs w:val="24"/>
        </w:rPr>
        <w:t xml:space="preserve"/>
      </w:r>
    </w:p>
    <w:p>
      <w:pPr>
        <w:pStyle w:val="Heading2"/>
        <w:spacing w:before="360" w:after="180"/>
        <w:outlineLvl w:val="1"/>
      </w:pPr>
      <w:r>
        <w:rPr>
          <w:rFonts w:ascii="Times New Roman" w:cs="Times New Roman" w:eastAsia="Times New Roman" w:hAnsi="Times New Roman"/>
          <w:b/>
          <w:bCs/>
          <w:color w:val="000000"/>
          <w:sz w:val="26"/>
          <w:szCs w:val="26"/>
        </w:rPr>
        <w:t xml:space="preserve">4.6 Protocolo de validación</w:t>
      </w:r>
    </w:p>
    <w:p>
      <w:pPr>
        <w:pStyle w:val="Heading3"/>
        <w:spacing w:before="280" w:after="14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de la Taxonomía CFH se asegura mediante tres procedimientos. Primero, la revisión experta del protocolo de anotación por el director de tesis y por investigadores del campo del análisis crítico del discurso y los derechos humanos. Segundo, la calibración de los anotadores mediante una sesión de práctica con 20 fragmentos de ejemplo antes del inicio de la anotación ciega. Tercero, la inclusión en el protocolo de reglas explícitas de desambiguación para los cinco casos difíciles más frecuentes, derivadas del análisis piloto del corpus.</w:t>
      </w:r>
    </w:p>
    <w:p>
      <w:pPr>
        <w:pStyle w:val="Heading3"/>
        <w:spacing w:before="280" w:after="14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constructo del modelo SEM se evalúa mediante tres pruebas. La validez convergente se verifica si los indicadores de cada variable latente presentan cargas factoriales (λ) ≥ 0.70 y Average Variance Extracted (AVE) ≥ 0.50. La validez discriminante se verifica si el AVE de cada constructo supera el cuadrado de la correlación entre constructos. La validez nomológica se verifica si las relaciones entre constructos son coherentes con las predicciones del marco teórico Fraser-Galtung.</w:t>
      </w:r>
    </w:p>
    <w:p>
      <w:pPr>
        <w:pStyle w:val="Heading3"/>
        <w:spacing w:before="280" w:after="14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se evalúa mediante la comparación de los DIS Scores calculados para un subconjunto de casos (n = 20) con evaluaciones cualitativas independientes realizadas por investigadores especialistas en derechos humanos y análisis del discurso. La concordancia entre las puntuaciones computacionales y las evaluaciones cualitativas se mide mediante la correlación de Spearman, con un umbral mínimo de r_s ≥ 0.70.</w:t>
      </w:r>
    </w:p>
    <w:p>
      <w:pPr>
        <w:spacing w:after="120"/>
      </w:pPr>
      <w:r>
        <w:rPr>
          <w:rFonts w:ascii="Times New Roman" w:cs="Times New Roman" w:eastAsia="Times New Roman" w:hAnsi="Times New Roman"/>
          <w:color w:val="000000"/>
          <w:sz w:val="24"/>
          <w:szCs w:val="24"/>
        </w:rPr>
        <w:t xml:space="preserve"/>
      </w:r>
    </w:p>
    <w:p>
      <w:pPr>
        <w:spacing w:before="480" w:after="20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OpenAI. (2022). Whisper: Robust Speech Recognition via Large-Scale Weak Supervision. arXiv:2212.04356.</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Schuller, B., Steidl, S., y Batliner, A. (2013). The INTERSPEECH 2013 Computational Paralinguistics Challenge. Proceedings of Interspeech 2013, 148–152. [OpenSMILE / eGeMAPS]</w:t>
      </w:r>
    </w:p>
    <w:p>
      <w:pPr>
        <w:spacing w:after="120"/>
        <w:ind w:left="720" w:hanging="720"/>
        <w:jc w:val="both"/>
      </w:pPr>
      <w:r>
        <w:rPr>
          <w:rFonts w:ascii="Times New Roman" w:cs="Times New Roman" w:eastAsia="Times New Roman" w:hAnsi="Times New Roman"/>
          <w:color w:val="000000"/>
          <w:sz w:val="20"/>
          <w:szCs w:val="20"/>
        </w:rPr>
        <w:t xml:space="preserve">Smith, R. (2007). An Overview of the Tesseract OCR Engine. Proceedings of the Ninth International Conference on Document Analysis and Recognition, 629–633.</w:t>
      </w:r>
    </w:p>
    <w:p>
      <w:pPr>
        <w:spacing w:after="120"/>
        <w:ind w:left="720" w:hanging="720"/>
        <w:jc w:val="both"/>
      </w:pPr>
      <w:r>
        <w:rPr>
          <w:rFonts w:ascii="Times New Roman" w:cs="Times New Roman" w:eastAsia="Times New Roman" w:hAnsi="Times New Roman"/>
          <w:color w:val="000000"/>
          <w:sz w:val="20"/>
          <w:szCs w:val="20"/>
        </w:rPr>
        <w:t xml:space="preserve">Yang, W., Salam, M. A., Alhelbawy, A., El-Beltagy, S., y Zubiaga, A. (2023). ConfliBERT: A Pre-trained Language Model for Political Conflict and Violence. Proceedings of IEEE CiSt 2023.</w:t>
      </w:r>
    </w:p>
    <w:sectPr>
      <w:headerReference w:type="default" r:id="rId6"/>
      <w:footerReference w:type="default" r:id="rId7"/>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before="360" w:after="1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280" w:after="14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2026-04-04T00:39:48.177Z</dcterms:created>
  <dcterms:modified xsi:type="dcterms:W3CDTF">2026-04-04T00:39:48.178Z</dcterms:modified>
</cp:coreProperties>
</file>

<file path=docProps/custom.xml><?xml version="1.0" encoding="utf-8"?>
<Properties xmlns="http://schemas.openxmlformats.org/officeDocument/2006/custom-properties" xmlns:vt="http://schemas.openxmlformats.org/officeDocument/2006/docPropsVTypes"/>
</file>