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6"/>
          <w:szCs w:val="26"/>
        </w:rPr>
        <w:t xml:space="preserve">UNIVERSIDAD EXTERNADO DE COLOMBIA</w:t>
      </w:r>
    </w:p>
    <w:p>
      <w:pPr>
        <w:spacing w:after="600"/>
        <w:jc w:val="center"/>
      </w:pPr>
      <w:r>
        <w:rPr>
          <w:rFonts w:ascii="Times New Roman" w:cs="Times New Roman" w:eastAsia="Times New Roman" w:hAnsi="Times New Roman"/>
          <w:sz w:val="22"/>
          <w:szCs w:val="22"/>
        </w:rPr>
        <w:t xml:space="preserve">Facultad de Ingeniería · Programa de Ciencia de Datos</w:t>
      </w:r>
    </w:p>
    <w:p>
      <w:pPr>
        <w:spacing w:after="120" w:before="600"/>
        <w:jc w:val="center"/>
      </w:pPr>
      <w:r>
        <w:rPr>
          <w:rFonts w:ascii="Times New Roman" w:cs="Times New Roman" w:eastAsia="Times New Roman" w:hAnsi="Times New Roman"/>
          <w:b/>
          <w:bCs/>
          <w:sz w:val="32"/>
          <w:szCs w:val="32"/>
        </w:rPr>
        <w:t xml:space="preserve">APÉNDICE A</w:t>
      </w:r>
    </w:p>
    <w:p>
      <w:pPr>
        <w:spacing w:after="120"/>
        <w:jc w:val="center"/>
      </w:pPr>
      <w:r>
        <w:rPr>
          <w:rFonts w:ascii="Times New Roman" w:cs="Times New Roman" w:eastAsia="Times New Roman" w:hAnsi="Times New Roman"/>
          <w:b/>
          <w:bCs/>
          <w:sz w:val="26"/>
          <w:szCs w:val="26"/>
        </w:rPr>
        <w:t xml:space="preserve">Desarrollo matemático y protocolo experimental del framework CFH</w:t>
      </w:r>
    </w:p>
    <w:p>
      <w:pPr>
        <w:spacing w:after="600"/>
        <w:jc w:val="center"/>
      </w:pPr>
      <w:r>
        <w:rPr>
          <w:rFonts w:ascii="Times New Roman" w:cs="Times New Roman" w:eastAsia="Times New Roman" w:hAnsi="Times New Roman"/>
          <w:i/>
          <w:iCs/>
          <w:sz w:val="22"/>
          <w:szCs w:val="22"/>
        </w:rPr>
        <w:t xml:space="preserve">Hermenéutica Forense Computacional</w:t>
      </w:r>
    </w:p>
    <w:p>
      <w:pPr>
        <w:spacing w:after="120" w:before="800"/>
        <w:jc w:val="center"/>
      </w:pPr>
      <w:r>
        <w:rPr>
          <w:rFonts w:ascii="Times New Roman" w:cs="Times New Roman" w:eastAsia="Times New Roman" w:hAnsi="Times New Roman"/>
          <w:b/>
          <w:bCs/>
          <w:sz w:val="22"/>
          <w:szCs w:val="22"/>
        </w:rPr>
        <w:t xml:space="preserve">Mireya Camacho Celis</w:t>
      </w:r>
    </w:p>
    <w:p>
      <w:pPr>
        <w:spacing w:after="600"/>
        <w:jc w:val="center"/>
      </w:pPr>
      <w:r>
        <w:rPr>
          <w:rFonts w:ascii="Times New Roman" w:cs="Times New Roman" w:eastAsia="Times New Roman" w:hAnsi="Times New Roman"/>
          <w:sz w:val="22"/>
          <w:szCs w:val="22"/>
        </w:rPr>
        <w:t xml:space="preserve">Director: Julián Zuluaga · Bogotá D.C., 2026</w:t>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 xml:space="preserve">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N_B=54 secciones) y Corpus C (audiencias orales, 588 bloques de aproximadamente 2.000 caracteres). El tamaño N_B=54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 xml:space="preserve">Nota interpretativa: el SA no difiere significativamente entre la justicia ordinaria y la JEP (A=0.885, B=0.913,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 xml:space="preserve">El DIS Score sintetiza la injusticia discursiva en sentido amplio: gramática (SA), léxico (NV) y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 xml:space="preserve">DIS = 0.35·ŷ₂ + 0.35·ŷ₄ + 0.30·(1 − ŷ₁₀)</w:t>
      </w:r>
    </w:p>
    <w:p>
      <w:pPr>
        <w:spacing w:after="160" w:line="360" w:lineRule="auto"/>
        <w:jc w:val="both"/>
      </w:pPr>
      <w:r>
        <w:rPr>
          <w:rFonts w:ascii="Times New Roman" w:cs="Times New Roman" w:eastAsia="Times New Roman" w:hAnsi="Times New Roman"/>
          <w:sz w:val="22"/>
          <w:szCs w:val="22"/>
        </w:rPr>
        <w:t xml:space="preserve">Los pesos son a priori, fundamentados teóricamente: SA y NV (peso 0.35 cada uno) representan los dos mecanismos activos de violencia discursiva en el marco de Galtung; la ausencia de REP (peso 0.30) representa la no-reparación.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 xml:space="preserve">A.6.1 Valores por subcaso (Corpus C, base unificada)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1500"/>
        <w:gridCol w:w="1600"/>
        <w:gridCol w:w="15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ŷ₂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ŷ₄ NV</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ŷ₁₀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0.978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0.592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0.782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0.807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r>
    </w:tbl>
    <w:p>
      <w:pPr>
        <w:spacing w:after="200" w:line="320"/>
        <w:jc w:val="both"/>
      </w:pPr>
      <w:r>
        <w:rPr>
          <w:rFonts w:ascii="Times New Roman" w:cs="Times New Roman" w:eastAsia="Times New Roman" w:hAnsi="Times New Roman"/>
          <w:i/>
          <w:iCs/>
          <w:sz w:val="18"/>
          <w:szCs w:val="18"/>
        </w:rPr>
        <w:t xml:space="preserve">Tabla A.6. DIS Score por subcaso sobre la base unificada (588 bloques, segmentación canónica de 2.000 caracteres). Casanare presenta la mayor injusticia discursiva; Catatumbo la menor.</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 xml:space="preserve">El IEI operacionaliza el marco de Fricker (2007). Mide la injusticia epistémica como la combinación de distancia semántica al léxico de las víctimas (y₈), distancia a estándares de derechos humanos (y₉), déficit de credibilidad léxico (y₄) y ausencia de expansión hermenéutica (1−y₁₀):</w:t>
      </w:r>
    </w:p>
    <w:p>
      <w:pPr>
        <w:spacing w:after="120" w:before="80"/>
        <w:jc w:val="center"/>
      </w:pPr>
      <w:r>
        <w:rPr>
          <w:rFonts w:ascii="Cambria Math" w:cs="Cambria Math" w:eastAsia="Cambria Math" w:hAnsi="Cambria Math"/>
          <w:i/>
          <w:iCs/>
          <w:sz w:val="24"/>
          <w:szCs w:val="24"/>
        </w:rPr>
        <w:t xml:space="preserve">IEI = 0.35·ŷ₈ + 0.20·ŷ₉ + 0.25·ŷ₄ + 0.20·(1 − ŷ₁₀)</w:t>
      </w:r>
    </w:p>
    <w:p>
      <w:pPr>
        <w:spacing w:after="160" w:line="360" w:lineRule="auto"/>
        <w:jc w:val="both"/>
      </w:pPr>
      <w:r>
        <w:rPr>
          <w:rFonts w:ascii="Times New Roman" w:cs="Times New Roman" w:eastAsia="Times New Roman" w:hAnsi="Times New Roman"/>
          <w:sz w:val="22"/>
          <w:szCs w:val="22"/>
        </w:rPr>
        <w:t xml:space="preserve">A diferencia del DIS, el IEI sí distingue significativamente la justicia ordinaria de la JEP escrita (A=0.507, B=0.430, p&lt;0.001), porque sus componentes dominantes (y₈, y₉) son justamente los que resisten el control temporal y constituyen la brecha estructural entre los sistemas.</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0.082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IEI&gt;DIS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0.018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 xml:space="preserve">El caso de Catatumbo. </w:t>
      </w:r>
      <w:r>
        <w:rPr>
          <w:rFonts w:ascii="Times New Roman" w:cs="Times New Roman" w:eastAsia="Times New Roman" w:hAnsi="Times New Roman"/>
          <w:sz w:val="22"/>
          <w:szCs w:val="22"/>
        </w:rPr>
        <w:t xml:space="preserve">Catatumbo presenta la menor injusticia discursiva del corpus (DIS=0.417, discurso gramaticalmente directo) pero es el único subcaso donde IEI&gt;DIS (0.499&gt;0.417). El Capitán Chaparro corrige la injusticia testimonial —cede autoridad gramatical, reduce la negación de victimización— pero mantiene una injusticia hermenéutica residual: su léxico permanece el más distante del de las víctimas (y₈=0.207, el más alto del Corpus C). La disociación, modesta en magnitud (Δ=0.082), es cualitativamente única y converge con el análisis léxico-semántico de §5.14.</w:t>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 xml:space="preserve">El tamaño del efecto se reporta como d de Cohen sobre el universo canónico (N_A=819, N_B=54).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0.913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0.507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0.430</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 xml:space="preserve">Tabla A.9. Tamaños de efecto A vs B (N_B=54).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 xml:space="preserve">El poder estadístico para detectar un efecto d=0.30 con N_B=54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 xml:space="preserve">El análisis de senderos exploratorio modela las relaciones entre indicadores mediante regresiones estructurales estimadas por mínimos cuadrados ordinarios. El predictor más fuerte de la transición epistémica es y₃ (distancia léxico-civil): β=−5.337, p&lt;0.001. El coeficiente es grande en magnitud porque y₃ tiene varianza muy baja (rango 0.985–0.992); se interpreta como coeficiente no estandarizado.</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 xml:space="preserve">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(κ&gt;0.80).</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y₈=0.207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 xml:space="preserve">Los hallazgos verificados del framework CFH, sobre los corpus canónicos (N_A=819, N_B=54,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El DIS agregado no distingue A de B (d=0.092, p=0.119 n.s.), por dilución de la señal del REP con la supresión de agentividad, que es transversal al género jurídico. Esta no-diferencia es robusta a tres esquemas de normalización.</w:t>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Catatumbo es el único subcaso con IEI&gt;DIS (Δ=0.082): corrige la injusticia testimonial pero mantiene la hermenéutica.</w:t>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2026-06-29T13:37:50.754Z</dcterms:created>
  <dcterms:modified xsi:type="dcterms:W3CDTF">2026-06-29T13:37:50.754Z</dcterms:modified>
</cp:coreProperties>
</file>

<file path=docProps/custom.xml><?xml version="1.0" encoding="utf-8"?>
<Properties xmlns="http://schemas.openxmlformats.org/officeDocument/2006/custom-properties" xmlns:vt="http://schemas.openxmlformats.org/officeDocument/2006/docPropsVTypes"/>
</file>