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jc w:val="both"/>
      </w:pPr>
      <w:r>
        <w:rPr>
          <w:rFonts w:ascii="Times New Roman" w:cs="Times New Roman" w:eastAsia="Times New Roman" w:hAnsi="Times New Roman"/>
          <w:sz w:val="24"/>
          <w:szCs w:val="24"/>
        </w:rPr>
        <w:t xml:space="preserve">El tamaño de efecto (Cohen's d), calculado sobre el Corpus B canónico (N_B=54 secciones, N_A=819), precisa la naturaleza de la brecha discursiva: la Ruptura Epistémica Positiva (y₁₀ REP) es el único indicador con un efecto sustantivo y significativo (d=0.371, p&lt;0.001). El resto de indicadores presenta efectos pequeños: y₂ SA (d=0.131, p=0.934 n.s.), transversal al género jurídico, e y₄ NV (d=0.024, p=0.028). El DIS Score agregado, al promediar estos indicadores heterogéneos, presenta un efecto trivial (d=0.092, p=0.119 n.s.) — no distingue significativamente la justicia ordinaria de la JEP escrita. Según la escala de Cohen (1988), solo el efecto del REP es interpretable como pequeño-mediano; el del índice agregado es despreciable, lo que confirma que la transición discursiva se manifiesta a nivel del indicador de reconocimiento (y₁₀) y no como un desplazamiento del índice compuesto, en línea con el análisis detallado de §5.13.1.</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y normalización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Tanto el DIS como el IEI se calculan sobre indicadores previamente normalizados mediante z-score seguido de función sigmoide sobre la distribución conjunta A+B+C, y el índice resultante es su combinación lineal ponderada (los pesos suman la unidad, de modo que el índice permanece en el intervalo (0,1) sin requerir una segunda normalización).</w:t>
      </w:r>
    </w:p>
    <w:tbl>
      <w:tblPr>
        <w:tblW w:w="80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200"/>
        <w:gridCol w:w="1200"/>
        <w:gridCol w:w="1700"/>
        <w:gridCol w:w="14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58</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0.417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0.499</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0.082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134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vs. IEI (η₂) por subcaso, Corpus C (588 bloques de ~2.000 caracteres, base unificada). DIS = 0.35·y₂ + 0.35·y₄ + 0.30·(1−y₁₀). IEI = 0.35·y₈ + 0.20·y₉ + 0.25·y₄ + 0.20·(1−y₁₀), sobre indicadores normalizados z-score+sigmoide A+B+C. Verde: único subcaso con IEI&gt;DIS (Catatumbo).</w:t>
      </w:r>
    </w:p>
    <w:p>
      <w:pPr>
        <w:spacing w:after="200" w:line="360" w:lineRule="auto"/>
        <w:jc w:val="both"/>
      </w:pPr>
      <w:r>
        <w:rPr>
          <w:rFonts w:ascii="Times New Roman" w:cs="Times New Roman" w:eastAsia="Times New Roman" w:hAnsi="Times New Roman"/>
          <w:b/>
          <w:sz w:val="24"/>
          <w:szCs w:val="24"/>
        </w:rPr>
        <w:t xml:space="preserve">Lectura de la comparación. </w:t>
      </w:r>
      <w:r>
        <w:rPr>
          <w:rFonts w:ascii="Times New Roman" w:cs="Times New Roman" w:eastAsia="Times New Roman" w:hAnsi="Times New Roman"/>
          <w:sz w:val="24"/>
          <w:szCs w:val="24"/>
        </w:rPr>
        <w:t xml:space="preserve">El ranking del DIS sitúa a Casanare en el extremo de mayor injusticia discursiva (0.592) y a Catatumbo en el de menor (0.417), coherente con el análisis de los indicadores individuales. El IEI presenta un orden distinto, y su comparación con el DIS revela el hallazgo central de esta sección: en cuatro de los cinco subcasos la injusticia discursiva supera a la epistémica (DIS&gt;IEI), pero en Catatumbo el patrón se invierte (IEI=0.499 &gt; DIS=0.417). Catatumbo es el único subcaso donde la injusticia epistémica excede a la discursiva.</w:t>
      </w:r>
    </w:p>
    <w:p>
      <w:pPr>
        <w:spacing w:after="200" w:line="360" w:lineRule="auto"/>
        <w:jc w:val="both"/>
      </w:pPr>
      <w:r>
        <w:rPr>
          <w:rFonts w:ascii="Times New Roman" w:cs="Times New Roman" w:eastAsia="Times New Roman" w:hAnsi="Times New Roman"/>
          <w:b/>
          <w:sz w:val="24"/>
          <w:szCs w:val="24"/>
        </w:rPr>
        <w:t xml:space="preserve">El caso de Catatumbo. </w:t>
      </w:r>
      <w:r>
        <w:rPr>
          <w:rFonts w:ascii="Times New Roman" w:cs="Times New Roman" w:eastAsia="Times New Roman" w:hAnsi="Times New Roman"/>
          <w:sz w:val="24"/>
          <w:szCs w:val="24"/>
        </w:rPr>
        <w:t xml:space="preserve">La disociación de Catatumbo es cualitativamente significativa aunque de magnitud modesta (Δ=0.082). El Capitán Chaparro exhibe la menor injusticia discursiva del corpus —su discurso es gramaticalmente el más directo, con la menor supresión de agentividad y la menor negación de victimización— pero su lenguaje permanece semánticamente más distante del de las víctimas que ese avance gramatical haría esperar (y₈=0.207, el más alto del Corpus C). En términos de Fricker (2007), corrige la injusticia testimonial —cede autoridad gramatical, habla en primera persona activa, reduce la negación de victimización— pero mantiene una injusticia hermenéutica residual: adopta la forma del reconocimiento sin adoptar plenamente la estructura semántica del lenguaje con que las víctimas nombran su experiencia. Esta disociación, modesta en los índices agregados, se documenta de forma convergente en el análisis léxico-semántico de §5.14.</w:t>
      </w:r>
    </w:p>
    <w:p>
      <w:pPr>
        <w:spacing w:after="200" w:line="360" w:lineRule="auto"/>
        <w:jc w:val="both"/>
      </w:pPr>
      <w:r>
        <w:rPr>
          <w:rFonts w:ascii="Times New Roman" w:cs="Times New Roman" w:eastAsia="Times New Roman" w:hAnsi="Times New Roman"/>
          <w:b/>
          <w:sz w:val="24"/>
          <w:szCs w:val="24"/>
        </w:rPr>
        <w:t xml:space="preserve">Los demás subcasos. </w:t>
      </w:r>
      <w:r>
        <w:rPr>
          <w:rFonts w:ascii="Times New Roman" w:cs="Times New Roman" w:eastAsia="Times New Roman" w:hAnsi="Times New Roman"/>
          <w:sz w:val="24"/>
          <w:szCs w:val="24"/>
        </w:rPr>
        <w:t xml:space="preserve">Los demás subcasos presentan DIS e IEI próximos entre sí (Δ entre 0.004 y 0.067), con la injusticia discursiva ligeramente por encima de la epistémica. Casanare encabeza ambos índices (DIS=0.592, IEI=0.525), configurando el perfil de mayor distancia simultánea —discursiva y epistémica— del corpus. Huila presenta los valores más bajos en ambas dimensiones (DIS=0.467, IEI=0.463), el perfil más cercano al lenguaje de las víctimas. La proximidad entre DIS e IEI en estos cuatro subcasos indica que, fuera del caso de Catatumbo, las dos formas de injusticia tienden a covariar.</w:t>
      </w:r>
    </w:p>
    <w:p>
      <w:pPr>
        <w:pStyle w:val="Heading2"/>
        <w:spacing w:before="240" w:after="120"/>
      </w:pPr>
      <w:r>
        <w:rPr>
          <w:rFonts w:ascii="Times New Roman" w:cs="Times New Roman" w:eastAsia="Times New Roman" w:hAnsi="Times New Roman"/>
          <w:b/>
          <w:sz w:val="26"/>
          <w:szCs w:val="26"/>
        </w:rPr>
        <w:t xml:space="preserve">5.13.1 Robustez de la comparación A vs B: el DIS agregado frente a sus componentes</w:t>
      </w:r>
    </w:p>
    <w:p>
      <w:pPr>
        <w:spacing w:after="200" w:line="360" w:lineRule="auto"/>
        <w:jc w:val="both"/>
      </w:pPr>
      <w:r>
        <w:rPr>
          <w:rFonts w:ascii="Times New Roman" w:cs="Times New Roman" w:eastAsia="Times New Roman" w:hAnsi="Times New Roman"/>
          <w:b/>
          <w:sz w:val="24"/>
          <w:szCs w:val="24"/>
        </w:rPr>
        <w:t xml:space="preserve">Una no-diferencia robusta, no un artefacto. </w:t>
      </w:r>
      <w:r>
        <w:rPr>
          <w:rFonts w:ascii="Times New Roman" w:cs="Times New Roman" w:eastAsia="Times New Roman" w:hAnsi="Times New Roman"/>
          <w:sz w:val="24"/>
          <w:szCs w:val="24"/>
        </w:rPr>
        <w:t xml:space="preserve">El DIS Score, como índice agregado, no distingue significativamente la justicia ordinaria (Corpus A) de la justicia transicional escrita (Corpus B): la prueba de Mann-Whitney arroja p=0.119 (A=0.514, B=0.496). Este resultado podría atribuirse a una elección particular de normalización, por lo que se sometió a una verificación sistemática mediante esquemas alternativos. La conclusión es robusta: bajo todos los esquemas razonables de normalización, el DIS agregado no diferencia los dos sistemas de justicia.</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4200"/>
        <w:gridCol w:w="1300"/>
        <w:gridCol w:w="1300"/>
        <w:gridCol w:w="1300"/>
        <w:gridCol w:w="126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Esquema de normalización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B</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p-valor</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Sig.</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A+B+C</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Indicadores crudos (sin normalizar)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0.655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bl>
    <w:p>
      <w:pPr>
        <w:spacing w:after="160" w:line="360" w:lineRule="auto"/>
        <w:jc w:val="both"/>
      </w:pPr>
      <w:r>
        <w:rPr>
          <w:rFonts w:ascii="Times New Roman" w:cs="Times New Roman" w:eastAsia="Times New Roman" w:hAnsi="Times New Roman"/>
          <w:i/>
          <w:sz w:val="20"/>
          <w:szCs w:val="20"/>
        </w:rPr>
        <w:t xml:space="preserve">Tabla 5.15. Comparación del DIS agregado (Corpus A vs. B) bajo tres esquemas de normalización. Mann-Whitney U bilateral. La no-significancia se mantiene en los tres casos, incluido el cálculo sobre indicadores crudos, cuyo resultado es independiente de toda normalización monótona.</w:t>
      </w:r>
    </w:p>
    <w:p>
      <w:pPr>
        <w:spacing w:after="200" w:line="360" w:lineRule="auto"/>
        <w:jc w:val="both"/>
      </w:pPr>
      <w:r>
        <w:rPr>
          <w:rFonts w:ascii="Times New Roman" w:cs="Times New Roman" w:eastAsia="Times New Roman" w:hAnsi="Times New Roman"/>
          <w:b/>
          <w:sz w:val="24"/>
          <w:szCs w:val="24"/>
        </w:rPr>
        <w:t xml:space="preserve">Por qué la verificación es concluyente. </w:t>
      </w:r>
      <w:r>
        <w:rPr>
          <w:rFonts w:ascii="Times New Roman" w:cs="Times New Roman" w:eastAsia="Times New Roman" w:hAnsi="Times New Roman"/>
          <w:sz w:val="24"/>
          <w:szCs w:val="24"/>
        </w:rPr>
        <w:t xml:space="preserve">La fila decisiva es la tercera. La prueba de Mann-Whitney compara rangos y es, por construcción, invariante ante cualquier transformación monótona de los datos —incluidas el z-score, la sigmoide y la normalización min-max—. Que el DIS calculado sobre indicadores crudos arroje p=0.279 demuestra que la ausencia de diferencia no es producto del esquema de normalización elegido, sino una propiedad de los datos: en el agregado, la distancia discursiva entre la justicia ordinaria y la JEP escrita no alcanza significancia estadística. Ninguna normalización legítima puede generar una diferencia que los datos no contienen; explorar esquemas alternativos hasta obtener significancia constituiría un sesgo de especificación que esta investigación descarta explícitamente.</w:t>
      </w:r>
    </w:p>
    <w:p>
      <w:pPr>
        <w:spacing w:after="200" w:line="360" w:lineRule="auto"/>
        <w:jc w:val="both"/>
      </w:pPr>
      <w:r>
        <w:rPr>
          <w:rFonts w:ascii="Times New Roman" w:cs="Times New Roman" w:eastAsia="Times New Roman" w:hAnsi="Times New Roman"/>
          <w:b/>
          <w:sz w:val="24"/>
          <w:szCs w:val="24"/>
        </w:rPr>
        <w:t xml:space="preserve">La causa: dilución por agregación. </w:t>
      </w:r>
      <w:r>
        <w:rPr>
          <w:rFonts w:ascii="Times New Roman" w:cs="Times New Roman" w:eastAsia="Times New Roman" w:hAnsi="Times New Roman"/>
          <w:sz w:val="24"/>
          <w:szCs w:val="24"/>
        </w:rPr>
        <w:t xml:space="preserve">La explicación de esta no-diferencia se encuentra en la estructura del propio índice. El DIS agrega tres indicadores con comportamientos heterogéneos frente a la comparación A vs B: la Supresión de Agentividad (y₂), que es transversal al género jurídico-institucional y no discrimina entre sistemas (p=0.934); la Negación de Victimización (y₄), que discrimina débilmente (p=0.028); y la Ruptura Epistémica Positiva (y₁₀), que discrimina con fuerza (p&lt;0.001). Al promediar un indicador no discriminante (y₂, con peso 0.35) con uno fuertemente discriminante (y₁₀, con peso 0.30), el índice compuesto diluye la señal: el avance del reconocimiento que y₁₀ captura queda compensado por la invariancia de y₂. La no-significancia del DIS agregado es, por tanto, un efecto de agregación, no la ausencia de una transición discursiva.</w:t>
      </w:r>
    </w:p>
    <w:p>
      <w:pPr>
        <w:spacing w:after="200" w:line="360" w:lineRule="auto"/>
        <w:jc w:val="both"/>
      </w:pPr>
      <w:r>
        <w:rPr>
          <w:rFonts w:ascii="Times New Roman" w:cs="Times New Roman" w:eastAsia="Times New Roman" w:hAnsi="Times New Roman"/>
          <w:b/>
          <w:sz w:val="24"/>
          <w:szCs w:val="24"/>
        </w:rPr>
        <w:t xml:space="preserve">Reorientación del hallazgo. </w:t>
      </w:r>
      <w:r>
        <w:rPr>
          <w:rFonts w:ascii="Times New Roman" w:cs="Times New Roman" w:eastAsia="Times New Roman" w:hAnsi="Times New Roman"/>
          <w:sz w:val="24"/>
          <w:szCs w:val="24"/>
        </w:rPr>
        <w:t xml:space="preserve">Este diagnóstico reorienta la interpretación de la brecha discursiva. La transición entre la justicia ordinaria y la transicional no se manifiesta como un desplazamiento global del índice agregado, sino a nivel de indicadores específicos y del índice epistémico. La Ruptura Epistémica Positiva (y₁₀, p&lt;0.001) y la cercanía semántica al lenguaje de las víctimas, sintetizada en el IEI (p&lt;0.001), son los marcadores que distinguen significativamente los dos sistemas; el DIS agregado, en cambio, no lo hace. Lejos de debilitar la tesis, este hallazgo precisa su contribución: el aporte original del framework no es un índice discursivo global que separe los corpus, sino la capacidad de identificar qué dimensiones específicas de la injusticia —la epistémica, operacionalizada en el IEI, y el reconocimiento, en y₁₀— constituyen la signatura medible de la transición.</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spacing w:after="80" w:line="340"/>
        <w:jc w:val="both"/>
      </w:pPr>
      <w:r>
        <w:rPr>
          <w:sz w:val="20"/>
          <w:szCs w:val="20"/>
          <w:i/>
          <w:color w:val="2E4057"/>
        </w:rPr>
        <w:t xml:space="preserve">Beach, M. C., et al. (2021). Testimonial Injustice: Linguistic Bias in the Medical Records of Black Patients and Women. Journal of General Internal Medicine.</w:t>
      </w:r>
    </w:p>
    <w:p>
      <w:pPr>
        <w:spacing w:after="80" w:line="340"/>
        <w:jc w:val="both"/>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