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6.1.7 El patrón de genuinidad facial — hallazgo Capa 3</w:t>
      </w:r>
    </w:p>
    <w:p>
      <w:pPr>
        <w:spacing w:after="200" w:line="360" w:lineRule="auto"/>
        <w:ind w:firstLine="720"/>
        <w:jc w:val="both"/>
      </w:pPr>
      <w:r>
        <w:rPr>
          <w:rFonts w:ascii="Times New Roman" w:cs="Times New Roman" w:eastAsia="Times New Roman" w:hAnsi="Times New Roman"/>
          <w:color w:val="000000"/>
          <w:sz w:val="24"/>
          <w:szCs w:val="24"/>
        </w:rPr>
        <w:t xml:space="preserve">El hallazgo más relevante de la Capa 3 multimodal es un patrón diferenciado de genuinidad del reconocimiento facial entre subcasos: General Torres Escalante Casanare (ICM=0.190) &lt; Capitán Chaparro Catatumbo (ICM=0.272) &lt; Soldados Huila (ICM=0.299) &lt; Oficial Dabeiba (ICM=0.353). Este patrón emergió del análisis de Action Units faciales con MediaPipe FaceLandmarker sobre los segmentos diarizados de los comparecientes en 4 de 5 audiencias del Corpus C, con detección optimizada (40-93% por audiencia).</w:t>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genuinidad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genuino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Torres Escalante tiene consistentemente el ICM más bajo (0.190) — mayor sonrisa (AU12=0.091) y menor ceño (AU4=0.076) que cualquier otro compareciente del corpus. Este perfil facial es el más consistente con un reconocimiento performativo: Torres Escalante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no pudo ser procesado por restricciones de la plataforma YouTube, dejando el análisis en 4 de 5 audiencias.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 xml:space="preserve">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video de Costa Caribe (subcaso La Popa, julio 2022) está bloqueado por DRM en YouTube y no pudo ser procesado.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Resolver el video Costa Caribe (DRM) para completar el Corpus C 5/5 en Capa 3. Validación perceptual del ICM: correlación entre ICM calculado y percepción humana de sinceridad sobre muestra del Corpus C (Baird y Coutinho, 2019).</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Cinco de seis indicadores CFH muestran diferencias estadísticamente significativas en la dirección predicha.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La Capa 3 añade un hallazgo relevante: el General Torres Escalante (Casanare) tiene el ICM facial más bajo del corpus (0.190) — perfil de sonrisa dominante consistente con reconocimiento performativo — mientras que el subcaso Dabeiba presenta el ICM más alto (0.353), posiblemente asociado a la materialidad concreta de ese subcaso (49 fosas físicamente recuperadas). Estos resultados son exploratorios y requieren validación perceptual, pero abren una línea de investigación sobre la expresión emocional en los actos de justicia transicional que no ha sido explorada cuantitativamente en la literatura.</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