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OpenFace 3.0 (Baltrusaitis et al., 2025) para Catatumbo, Casanare, Dabeiba y Huila; MediaPipe FaceLandmarker (Lugaresi et al., 2023) para Costa Caribe. </w:t>
      </w:r>
      <w:r>
        <w:rPr>
          <w:rFonts w:ascii="Times New Roman" w:cs="Times New Roman" w:eastAsia="Times New Roman" w:hAnsi="Times New Roman"/>
          <w:color w:val="000000"/>
          <w:sz w:val="24"/>
          <w:szCs w:val="24"/>
        </w:rPr>
        <w:t xml:space="preserve">OpenFace 3.0 (Baltrusaitis et al., 2025) para Catatumbo, Casanare, Dabeiba y Huila; MediaPipe FaceLandmarker (Lugaresi et al., 2023) para Costa Caribe v0.10 (Lugaresi et al., 2023) extrae 52 blendshapes faciales por frame en modo IMAGE. Por segmento diarizado se muestrean hasta 20 frames y se calcula la media de cada blendshape.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OpenFace 3.0 (Baltrusaitis et al., 2025) para Catatumbo, Casanare, Dabeiba y Huila; MediaPipe FaceLandmarker (Lugaresi et al., 2023) para Costa Caribe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OpenFace 3.0 (Baltrusaitis et al., 2025) para Catatumbo, Casanare, Dabeiba y Huila; MediaPipe FaceLandmarker (Lugaresi et al., 2023) para Costa Caribe.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(10.897 ventanas, 4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