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 Esta independencia es metodológicamente relevante: el coeficiente positivo de y₄ NV sobre y₁₀ REP en el path analysis (β=+0.058, p=0.004) revela que la coexistencia de NV y REP en los mismos segmentos no es paradójica sino estructural — el Corpus B cita el vocabulario NV original para refutarlo mediante metalenguaje citativo, lo que produce la correlación negativa observada entre los componentes del DIS.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
El tamaño de efecto (Cohen's d) calculado sobre N_B=214 secciones confirma la robustez de los hallazgos principales: y₁₀ REP muestra el efecto más grande (d=0.514, p&lt;0.001), seguido por el DIS sintético (d=0.335, p&lt;0.001) e y₂ SA (d=0.257, p=0.023). El indicador y₄ NV no alcanza significación individual (d=0.324, p=0.354 n.s.), coherente con el hallazgo de §5.2.4 sobre la coexistencia de NV y REP por metalenguaje citativo en el Corpus B. Según la escala de Cohen (1988), los efectos de REP (d=0.514) y DIS (d=0.335) son efectos medianos — sustancialmente interpretables en el contexto del análisis de corpus judiciales.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5.9 Capa 3 — ICM facial: Action Units por subcaso</w:t>
      </w:r>
    </w:p>
    <w:p>
      <w:pPr>
        <w:spacing w:after="200" w:line="360" w:lineRule="auto"/>
        <w:ind w:firstLine="720"/>
        <w:jc w:val="both"/>
      </w:pPr>
      <w:r>
        <w:rPr>
          <w:rFonts w:ascii="Times New Roman" w:cs="Times New Roman" w:eastAsia="Times New Roman" w:hAnsi="Times New Roman"/>
          <w:color w:val="000000"/>
          <w:sz w:val="24"/>
          <w:szCs w:val="24"/>
        </w:rPr>
        <w:t xml:space="preserve">La Capa 3 multimodal del framework CFH extrae Action Units (AUs) faciales de los comparecientes en las audiencias de reconocimiento, utilizando MediaPipe FaceLandmarker sobre los segmentos de audio diarizados. Los speakers comparecientes fueron identificados mediante cruce de diarización con transcripciones de Whisper: SPEAKER_03 Casanare = General General, subcaso Casanare (letrero JEP en pantalla); SPEAKER_03 Catatumbo = Capitán, subcaso Catatumbo; SPEAKER_01 Dabeiba = compareciente oficial (contenido textual); SPEAKER_06+07+08 Huila = soldados y suboficiales incluyendo a suboficial, subcaso Huila. La detección facial fue optimizada con umbral 0.3, 50 frames por segmento y recorte por cuadrantes — logrando tasas de 40-93%.</w:t>
      </w:r>
    </w:p>
    <w:p>
      <w:pPr>
        <w:spacing w:after="200" w:line="360" w:lineRule="auto"/>
        <w:ind w:firstLine="720"/>
        <w:jc w:val="both"/>
      </w:pPr>
      <w:r>
        <w:rPr>
          <w:sz w:val="24"/>
          <w:szCs w:val="24"/>
        </w:rPr>
        <w:t xml:space="preserve">Nota epistemológica sobre la Capa 3: los resultados que se presentan a continuación deben leerse con una cautela fundamental. Conforme a Barrett et al. (2019), las expresiones faciales no decodifican estados emocionales internos de manera universal. El ICM facial reportado en esta sección no mide sinceridad individual de los comparecientes. Mide patrones de congruencia entre canales comunicativos multimodales a nivel de corpus —una caracterización comparativa de las audiencias, no una evaluación de personas.</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800"/>
        <w:gridCol w:w="800"/>
        <w:gridCol w:w="800"/>
        <w:gridCol w:w="8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Compareciente / Rango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w:t>
            </w:r>
          </w:p>
        </w:tc>
        <w:tc>
          <w:tcPr>
            <w:tcW w:type="dxa" w:w="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score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Gral. General, subcaso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Cap. Capitán, subcaso Catatumbo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Soldados/suboficiales (suboficial, subcaso Huila+)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322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93%</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0.299</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Dabeiba</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Oficial (coronel/teniente coronel)</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0.371</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0.079</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40%</w:t>
            </w:r>
          </w:p>
        </w:tc>
        <w:tc>
          <w:tcPr>
            <w:tcW w:type="dxa" w:w="8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0.353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5.10. ICM facial v3 por subcaso — MediaPipe FaceLandmarker optimizado. ICM = distress/(distress+sonrisa). Mayor ICM = mayor congruencia multimodal. Ordenado por ICM ascendente.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facial con detección optimizada (v3) revela que Dabeiba presenta el ICM más alto (0.353) — no Huila como indicaba la versión preliminar. El patrón general se mantiene: General General, subcaso Casanare tiene el ICM más bajo (0.190) y los comparecientes de menor rango tienen ICM más alto. Sin embargo, el orden exacto entre Huila (soldados, ICM=0.299) y Dabeiba (oficiales, ICM=0.353) invierte la hipótesis simple del gradiente por rango. Una interpretación alternativa más robusta es por contexto del subcaso: Dabeiba tiene el ICM más alto porque es el subcaso más materialmente concreto del corpus — los comparecientes guiaron personalmente a los investigadores a 49 fosas en el cementerio Las Mercedes. La materialidad física del crimen puede generar mayor distress facial independientemente del rango.</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General (Casanare) tiene el AU12 más alto (0.091) — mayor sonrisa — y el AU4 más bajo (0.076) — menor ceño. Este perfil de alta sonrisa y bajo ceño, en el contexto de un reconocimiento de responsabilidad por asesinato de civiles, es el más consistente con un patrón de baja congruencia multimodal en el corpus.</w:t>
      </w:r>
    </w:p>
    <w:p>
      <w:pPr>
        <w:spacing w:after="200" w:line="360" w:lineRule="auto"/>
        <w:ind w:firstLine="720"/>
        <w:jc w:val="both"/>
      </w:pPr>
      <w:r>
        <w:rPr>
          <w:rFonts w:ascii="Times New Roman" w:cs="Times New Roman" w:eastAsia="Times New Roman" w:hAnsi="Times New Roman"/>
          <w:color w:val="000000"/>
          <w:sz w:val="24"/>
          <w:szCs w:val="24"/>
        </w:rPr>
        <w:t xml:space="preserve">La detección facial varía entre audiencias (86% Casanare, 93% Huila, 55% Catatumbo, 40% Dabeiba). La baja detección en Dabeiba (40%) afecta la robustez de su ICM — los resultados deben interpretarse con cautela.</w:t>
      </w:r>
    </w:p>
    <w:p>
      <w:pPr>
        <w:spacing w:after="200" w:line="360" w:lineRule="auto"/>
        <w:ind w:firstLine="720"/>
        <w:jc w:val="both"/>
      </w:pPr>
      <w:r>
        <w:rPr>
          <w:sz w:val="22"/>
          <w:szCs w:val="22"/>
          <w:b/>
          <w:color w:val="0D2137"/>
        </w:rPr>
        <w:t xml:space="preserve">Tabla 5.11. ICM vocal (eGeMAPS) por subcaso — OpenSMILE eGeMAPS v02, segmentos diarizados del compareciente. ICM_vocal = (shimmer_norm + F0_std_norm) / 2. n = ventanas del compareciente tras cruce con diarización AUs.</w:t>
      </w:r>
    </w:p>
    <w:p>
      <w:pPr>
        <w:spacing w:after="200" w:line="360" w:lineRule="auto"/>
        <w:ind w:firstLine="720"/>
        <w:jc w:val="both"/>
      </w:pPr>
      <w:r>
        <w:rPr>
          <w:sz w:val="24"/>
          <w:szCs w:val="24"/>
        </w:rPr>
        <w:t xml:space="preserve">5.10 Capa 3 — ICM vocal: canal prosódico por subcaso
El canal prosódico se extrajo usando OpenSMILE eGeMAPS v02 (88 features) sobre los WAV de las cuatro audiencias a 16kHz, filtrando únicamente los segmentos temporales del compareciente mediante cruce con las diarizaciones MediaPipe (start/end de cada segmento AU). Se obtuvieron 354 ventanas para Casanare, 332 para Catatumbo, 83 para Dabeiba y 342 para Huila. El ICM vocal se calcula como la media de shimmer normalizado y F0_stddev normalizado por subcaso: mayor shimmer y mayor variabilidad de F0 indican mayor irregularidad vocal asociada a carga emocional alta.
Los resultados revelan que Dabeiba presenta el ICM vocal más alto (0.452) — mayor irregularidad prosódica, coherente con la materialidad del acto de reconocimiento (49 fosas). Casanare presenta un ICM vocal alto (0.415) pero con el shimmer más elevado del corpus (1.42 dB), lo que combinado con su ICM facial bajo (0.190) produce el patrón de mayor divergencia entre canales (Δ=0.225). Catatumbo y Huila son los subcasos con mayor convergencia entre canal facial y vocal (Δ=0.045 y Δ=0.035 respectivamente).</w:t>
      </w:r>
    </w:p>
    <w:p>
      <w:pPr>
        <w:spacing w:after="200" w:line="360" w:lineRule="auto"/>
        <w:ind w:firstLine="720"/>
        <w:jc w:val="both"/>
      </w:pPr>
      <w:r>
        <w:rPr>
          <w:sz w:val="22"/>
          <w:szCs w:val="22"/>
          <w:b/>
          <w:color w:val="0D2137"/>
        </w:rPr>
        <w:t xml:space="preserve">Tabla 5.12. ICM tri-canal ponderado por subcaso. ICM_tri = 0.40 × ICM_facial + 0.40 × ICM_vocal + 0.20 × ICM_verbal. ICM_verbal = 1 − (y₈ − y₈_min)/(y₈_max − y₈_min). Ordenado por ICM tri-canal ascendente.</w:t>
      </w:r>
    </w:p>
    <w:p>
      <w:pPr>
        <w:spacing w:after="200" w:line="360" w:lineRule="auto"/>
        <w:ind w:firstLine="720"/>
        <w:jc w:val="both"/>
      </w:pPr>
      <w:r>
        <w:rPr>
          <w:sz w:val="24"/>
          <w:szCs w:val="24"/>
        </w:rPr>
        <w:t xml:space="preserve">5.11 Capa 3 — ICM tri-canal ponderado
La versión tri-canal del ICM integra los tres canales comunicativos disponibles mediante ponderación explícita: ICM_tri = 0.40 × ICM_facial + 0.40 × ICM_vocal + 0.20 × ICM_verbal. El canal verbal se operacionaliza como la proximidad semántica al centroide MAFAPO (y₈), invertida y normalizada: mayor proximidad al lenguaje de las víctimas = mayor congruencia verbal. Los pesos reflejan la disponibilidad diferencial de datos: facial y vocal tienen cobertura completa sobre los cuatro subcasos; verbal tiene el 100% de cobertura pero es una aproximación indirecta.
El ICM tri-canal produce el siguiente ranking: Catatumbo (0.236) &lt; Casanare (0.375) &lt; Huila (0.454) &lt; Dabeiba (0.493). Este ranking difiere del ICM facial en un aspecto crítico: Catatumbo, que tenía el segundo ICM facial más bajo (0.272), pasa a ser el subcaso de menor congruencia tri-canal (0.236) debido a que su canal verbal es el más distante del lenguaje de MAFAPO (y₈=0.207 — el más alto del corpus C, es decir, el más alejado). Dabeiba, con la mayor materialidad del acto de reconocimiento, consolida el primer lugar en congruencia tri-canal (0.493). El caso Casanare sube del último al segundo lugar porque su canal vocal compensa parcialmente la baja congruencia facial — aunque la divergencia entre canales (Δ=0.225 facial-vocal) sigue siendo la más alta del corpus.</w:t>
      </w:r>
    </w:p>
    <w:p>
      <w:pPr>
        <w:spacing w:after="200" w:line="360" w:lineRule="auto"/>
        <w:ind w:firstLine="720"/>
        <w:jc w:val="both"/>
      </w:pPr>
      <w:r>
        <w:rPr>
          <w:sz w:val="22"/>
          <w:szCs w:val="22"/>
          <w:b/>
          <w:color w:val="0D2137"/>
        </w:rPr>
        <w:t xml:space="preserve">Tabla 5.13. Corpus C — indicadores CFH completos por subcaso. y₂=Supresión de Agentividad, y₄=Negación de Victimización, y₁₀=Lenguaje Reparatorio, y₈=Distancia MAFAPO, y₉=Distancia CIDH. ICM_f=facial, ICM_v=vocal, ICM_tri=tri-canal ponderado (w=0.40/0.40/0.20). Costa Caribe: ICM disponible con N=32 frames (MediaPipe FaceLandmarker).</w:t>
      </w:r>
    </w:p>
    <w:p>
      <w:pPr>
        <w:spacing w:after="200" w:line="360" w:lineRule="auto"/>
        <w:ind w:firstLine="720"/>
        <w:jc w:val="both"/>
      </w:pPr>
      <w:r>
        <w:rPr>
          <w:sz w:val="24"/>
          <w:szCs w:val="24"/>
        </w:rPr>
        <w:t xml:space="preserve">5.12 Análisis integrado Corpus C — 6 indicadores CFH
El análisis completo del Corpus C (538 bloques, 5 subcasos, ~38 horas de audiencias) con los seis indicadores CFH más el ICM tri-canal revela un perfil diferenciado por subcaso que permite contrastar la congruencia discursiva en múltiples dimensiones.
Casanare (General General, subcaso Casanare) presenta el perfil de mayor distancia discursiva del corpus: y₂ SA más alto (0.974 — máxima pasivización), y₄ NV más alto (0.483 — mayor negación de victimización) y el ICM tri-canal segundo más bajo (0.375). La combinación de alta supresión de agentividad, alta negación de victimización y baja congruencia multimodal es el patrón más consistente de distancia discursiva en el corpus.
Catatumbo (Capitán, subcaso Catatumbo) tiene el ICM tri-canal más bajo (0.236) a pesar de mostrar la menor supresión de agentividad (y₂=0.532) y la menor negación de victimización (y₄=0.220). El factor determinante es que su canal semántico es el más distante del lenguaje de MAFAPO (y₈=0.207 — el más alto del corpus C), lo que arrastra el ICM tri-canal hacia abajo a través del componente verbal. Este es el hallazgo más contraintuitivo del corpus: mayor gramaticalmente directo pero semánticamente más distante de las víctimas.
Dabeiba (Oficial) consolida el perfil de mayor congruencia en el corpus (ICM_tri=0.493): y₄ NV más bajo (0.211), ICM facial más alto (0.353), ICM vocal más alto (0.452) y distancia MAFAPO baja (y₈=0.189). La materialidad del acto de reconocimiento — 49 fosas del cementerio Las Mercedes — se correlaciona con el perfil de mayor congruencia discursiva multi-canal.
Huila (suboficial, subcaso Huila y otros) presenta el mayor y₁₀ REP (0.147) y la menor distancia MAFAPO (y₈=0.186) del corpus C — es el subcaso semánticamente más cercano al lenguaje de las víctimas, con ICM tri-canal 0.453.
Costa Caribe (12 comparecientes, Batallón La Popa) tiene ICM disponible con N=32 frames procesados con MediaPipe FaceLandmarker — cobertura notablemente menor que los demás subcasos en el video, pero presenta el segundo y₄ NV más alto del corpus (0.373) — mayor que Huila y Dabeiba — lo que indica un patrón lingüístico de mayor distancia discursiva que los subcasos con video disponible.</w:t>
      </w:r>
    </w:p>
    <w:p>
      <w:pPr>
        <w:spacing w:after="200" w:line="360" w:lineRule="auto"/>
        <w:ind w:firstLine="720"/>
        <w:jc w:val="both"/>
      </w:pPr>
      <w:r>
        <w:rPr>
          <w:sz w:val="24"/>
          <w:szCs w:val="24"/>
        </w:rPr>
        <w:t xml:space="preserve">El hallazgo central del análisis integrado es la disociación entre los canales discursivos en el corpus C. En ningún subcaso todos los indicadores apuntan en la misma dirección. Casanare tiene alta NV y alta SA pero voz prosódicamente expresiva. Catatumbo tiene baja SA y baja NV pero léxico semánticamente distante de MAFAPO. Dabeiba tiene alta congruencia multimodal pero bajo lenguaje reparatorio (y₁₀=0.066). Esta disociación sugiere que el reconocimiento en las audiencias JEP es un fenómeno multidimensional que no puede reducirse a un único indicador — lo que justifica metodológicamente la arquitectura multi-capa del framework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ICM completo pendiente: (1) canal vocal eGeMAPS — shimmer, jitter, F0 por segmento diarizado, (2) video Costa Caribe sin DRM, (3) validación perceptual ICM vs. jueces humanos (Baird y Coutinho, 2019).</w:t>
            </w:r>
          </w:p>
        </w:tc>
      </w:tr>
    </w:tbl>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5.13 Índice de Injusticia Epistémica (IEI) y comparación con el DIS Score</w:t>
      </w:r>
    </w:p>
    <w:p>
      <w:pPr>
        <w:pStyle w:val="Normal"/>
      </w:pPr>
      <w:r>
        <w:rPr/>
        <w:t xml:space="preserve">H_ICM_B — congruencia injusta tri-canal: Catatumbo y Costa Caribe presentan cong_injusta=True. Los tres canales convergen simultáneamente en la dirección del no-reconocimiento. En Catatumbo, esta congruencia tri-canal injusta coexiste con DIS=0.110 — el más bajo del corpus. El Capitán, subcaso Catatumbo habla sin distorsiones habermasianas en el canal gramatical, pero los tres canales — incluido el verbal — no producen alta congruencia multimodal. Esta es la forma de injusticia epistémica que Fricker (2007) identifica pero el análisis verbal solo no puede detectar: una congruencia tri-canal en la dirección del no-reconocimiento, sin violencia gramatical explícita.</w:t>
      </w:r>
    </w:p>
    <w:p>
      <w:pPr>
        <w:pStyle w:val="Normal"/>
      </w:pPr>
      <w:r>
        <w:rPr/>
        <w:t xml:space="preserve">Los resultados del ICM revelan dos patrones que corresponden a las hipótesis trimodales del framework. H_ICM_A confirmada parcialmente: la correlación entre el DIS Score y la disociación tri-canal es rho(DIS, dis_tri)=+0.90. Los subcasos con mayor injusticia discursiva activa — Casanare (dis_tri=0.109) y Dabeiba (dis_tri=0.079) — muestran mayor tensión entre lo que se dice verbalmente y lo que los canales no-verbales expresan. En Casanare, vocal (0.635) y facial (0.496) muestran más señales de distress que el canal verbal (0.368). La correlación con el IEI es rho=-0.10, no significativa: la injusticia epistémica no se manifiesta como disociación entre canales sino como congruencia.</w:t>
      </w:r>
    </w:p>
    <w:p>
      <w:pPr>
        <w:pStyle w:val="Heading 3"/>
      </w:pPr>
      <w:r>
        <w:rPr/>
        <w:t xml:space="preserve">§5.13.3 Interpretación del ICM tri-canal — hipótesis trimodales</w:t>
      </w:r>
    </w:p>
    <w:p>
      <w:pPr>
        <w:pStyle w:val="Normal"/>
      </w:pPr>
      <w:r>
        <w:rPr/>
        <w:t xml:space="preserve">La robustez de los valores DIS e IEI de la Tabla 5.14 fue verificada mediante análisis de sensibilidad. La condición IEI&gt;DIS de Catatumbo se mantiene en el 100% de 141 combinaciones de pesos plausibles evaluadas para el DIS Score. La condición de máxima disociación DIS-IEI de Catatumbo se mantiene en el 85% de las combinaciones. Estos resultados confirman que el hallazgo central no es un artefacto de la especificación de pesos.</w:t>
      </w:r>
    </w:p>
    <w:p>
      <w:pPr>
        <w:pStyle w:val="Heading 3"/>
      </w:pPr>
      <w:r>
        <w:rPr/>
        <w:t xml:space="preserve">§5.13.2 Análisis de parsimonia — robustez de la Tabla 5.14</w:t>
      </w:r>
    </w:p>
    <w:p>
      <w:pPr>
        <w:pStyle w:val="Normal"/>
      </w:pPr>
      <w:r>
        <w:rPr/>
        <w:t xml:space="preserve">El subcaso Costa Caribe (Batallón La Popa, 12 comparecientes) fue incorporado al análisis ICM con la diarización completada el 01/06/2026 (10.46 horas, 5,717 segmentos, SPEAKER_00=44.7 minutos). Los valores ICM v5 son: icm_vocal=0.465, icm_facial=0.104 (43% detección), icm_verbal=0.132, dis_tri=0.012, cong_injusta=True. DIS=0.464, IEI=0.231. El perfil es CONGRUENTE INJUSTO — similar a Catatumbo, con los tres canales convergiendo en la dirección del no-reconocimiento.</w:t>
      </w:r>
    </w:p>
    <w:p>
      <w:pPr>
        <w:pStyle w:val="Heading 3"/>
      </w:pPr>
      <w:r>
        <w:rPr/>
        <w:t xml:space="preserve">§5.13.1 Costa Caribe — actualización v2 (01/06/2026)</w:t>
      </w:r>
    </w:p>
    <w:p>
      <w:pPr>
        <w:jc w:val="both"/>
        <w:spacing w:after="160" w:line="340"/>
      </w:pPr>
      <w:r>
        <w:rPr>
          <w:sz w:val="22"/>
          <w:szCs w:val="22"/>
        </w:rPr>
        <w:t xml:space="preserve">Tabla 5.14. DIS Score (η₁ — injusticia discursiva) vs. IEI (η₂ — injusticia epistémica) por subcaso — Corpus C. DIS = 0.35×y₂_SA_norm + 0.35×y₄_NV_norm + 0.30×(1−y₁₀_REP_norm). IEI = 0.35×y₈_MAF_norm + 0.20×y₉_CIDH_norm + 0.25×y₄_NV_norm + 0.20×(1−y₁₀_REP_norm). Mayor valor = mayor injusticia. Δ = |DIS−IEI|.</w:t>
      </w:r>
    </w:p>
    <w:p>
      <w:pPr>
        <w:jc w:val="both"/>
        <w:spacing w:after="160" w:line="340"/>
      </w:pPr>
      <w:r>
        <w:rPr>
          <w:sz w:val="22"/>
          <w:szCs w:val="22"/>
        </w:rPr>
        <w:t xml:space="preserve">La tabla DIS vs. IEI | Casanare: DIS=0.808, IEI=0.517, Δ=0.291, DIS&gt;IEI | Catatumbo: DIS=0.110, IEI=0.624, Δ=0.514, IEI&gt;DIS | Dabeiba: DIS=0.490, IEI=0.299, Δ=0.190, DIS&gt;IEI | Huila: DIS=0.228, IEI=0.081, Δ=0.147, DIS&gt;IEI | Costa Caribe: DIS=0.464, IEI=0.231, Δ=0.233, DIS&gt;IEI</w:t>
      </w:r>
    </w:p>
    <w:p>
      <w:pPr>
        <w:jc w:val="both"/>
        <w:spacing w:after="160" w:line="340"/>
      </w:pPr>
      <w:r>
        <w:rPr>
          <w:sz w:val="22"/>
          <w:szCs w:val="22"/>
        </w:rPr>
        <w:t xml:space="preserve">El Índice de Injusticia Epistémica (IEI) operacionaliza el marco de Fricker (2007) con los indicadores disponibles: distancia semántica al léxico de víctimas (y₈ MAFAPO, peso 0.35), distancia a estándares DDHH (y₉ CIDH, peso 0.20), credibility deficit léxico (y₄ NV, peso 0.25) y ausencia de expansión hermenéutica (1−y₁₀ REP, peso 0.20). El IEI mide si el proceso dialógico de las audiencias JEP corrige la injusticia hermenéutica de las víctimas —operacionalizada como convergencia semántica hacia el léxico de MAFAPO— independientemente de si el compareciente reduce su injusticia discursiva gramatical.</w:t>
      </w:r>
    </w:p>
    <w:p>
      <w:pPr>
        <w:jc w:val="both"/>
        <w:spacing w:after="160" w:line="340"/>
      </w:pPr>
      <w:r>
        <w:rPr>
          <w:sz w:val="22"/>
          <w:szCs w:val="22"/>
        </w:rPr>
        <w:t xml:space="preserve">El hallazgo central de la comparación DIS vs. IEI es que los dos índices pueden disociarse, y la disociación tiene un caso paradigmático: Catatumbo (Δ=0.514). El Capitán, subcaso Catatumbo exhibe la menor injusticia discursiva del corpus (DIS=0.110 — menor SA, menor NV) pero la mayor injusticia epistémica (IEI=0.624 — mayor distancia semántica a MAFAPO). Esta disociación es el hallazgo más contraintuitivo del análisis integrado: reducir la injusticia gramatical y léxica del discurso no garantiza adoptar los recursos hermenéuticos de las víctimas. En términos de Fricker (2007), el Capitán, subcaso Catatumbo corrige la injusticia testimonial (cede autoridad gramatical, habla en primera persona activa, reduce negación de victimización) pero mantiene la injusticia hermenéutica (su léxico permanece distante del que las víctimas usaron para nombrar su experiencia).</w:t>
      </w:r>
    </w:p>
    <w:p>
      <w:pPr>
        <w:jc w:val="both"/>
        <w:spacing w:after="160" w:line="340"/>
      </w:pPr>
      <w:r>
        <w:rPr>
          <w:sz w:val="22"/>
          <w:szCs w:val="22"/>
        </w:rPr>
        <w:t xml:space="preserve">Casanare (General, subcaso Casanare) presenta coherencia negativa: alto DIS (0.808) y alto IEI (0.517). Es el único subcaso donde ambos tipos de injusticia son simultáneamente elevados — el perfil de mayor distancia discursiva y epistémica del corpus. La convergencia de alta SA, alta NV, distancia MAFAPO elevada y máxima divergencia vocal-facial (ICM_tri=0.375, el segundo más bajo) configura el patrón multi-dimensional de mayor injusticia en el corpus C.</w:t>
      </w:r>
    </w:p>
    <w:p>
      <w:pPr>
        <w:jc w:val="both"/>
        <w:spacing w:after="160" w:line="340"/>
      </w:pPr>
      <w:r>
        <w:rPr>
          <w:sz w:val="22"/>
          <w:szCs w:val="22"/>
        </w:rPr>
        <w:t xml:space="preserve">Huila presenta el mejor perfil bi-índice del corpus: DIS=0.228 e IEI=0.081 — los valores más bajos en ambas dimensiones. Es el subcaso semánticamente más cercano al léxico de las víctimas (y₈=0.186, el mínimo del corpus C) y con mayor lenguaje reparatorio (y₁₀=0.147). En términos del proceso dialógico de la JEP, Huila es el subcaso donde la audiencia de reconocimiento más se aproxima a lo que Fricker llamaría corrección simultánea de injusticia testimonial e injusticia hermenéutica.</w:t>
      </w:r>
    </w:p>
    <w:p>
      <w:pPr>
        <w:jc w:val="both"/>
        <w:spacing w:after="160" w:line="340"/>
      </w:pPr>
      <w:r>
        <w:rPr>
          <w:sz w:val="22"/>
          <w:szCs w:val="22"/>
        </w:rPr>
        <w:t xml:space="preserve">Dabeiba, pese a tener el ICM tri-canal más alto (0.493 — mayor congruencia multimodal), presenta una disociación DIS&gt;IEI (DIS=0.490, IEI=0.299): su injusticia discursiva es moderada pero su injusticia epistémica es relativamente baja. La materialidad del reconocimiento —49 fosas del cementerio Las Mercedes— correlaciona con la baja injusticia epistémica pero no con la baja injusticia discursiva, lo que sugiere que los comparecientes de Dabeiba adoptaron el léxico de las víctimas (reduciendo el hermeneutical gap) más que la gramática de la responsabilidad (la SA permanece en 0.771).</w:t>
      </w:r>
    </w:p>
    <w:p>
      <w:pPr>
        <w:jc w:val="both"/>
        <w:spacing w:after="160" w:line="340"/>
      </w:pPr>
      <w:r>
        <w:rPr>
          <w:sz w:val="22"/>
          <w:szCs w:val="22"/>
        </w:rPr>
        <w:t xml:space="preserve">La comparación DIS-IEI produce la proposición empírica más original del análisis: en el proceso dialógico de la JEP, la corrección de la injusticia discursiva y la corrección de la injusticia epistémica son fenómenos parcialmente independientes que pueden avanzar a ritmos distintos y en direcciones distintas por subcaso. Ningún indicador monocanal puede capturar esta disociación. La arquitectura multi-indicador del framework CFH —que los índices DIS e IEI sintetizan— es metodológicamente necesaria para describir la complejidad del reconocimiento en contextos de justicia transicional.</w:t>
      </w:r>
    </w:p>
    <w:p>
      <w:pPr>
        <w:jc w:val="both"/>
        <w:spacing w:after="160" w:line="340"/>
      </w:pPr>
      <w:r>
        <w:rPr>
          <w:sz w:val="24"/>
          <w:szCs w:val="24"/>
          <w:b/>
          <w:color w:val="0D2137"/>
        </w:rPr>
        <w:t xml:space="preserve">5.14 Indicadores Beach (2021): y₁₂ registro léxico, y₁₃ verbos atributivos, y₁₄ evidenciales</w:t>
      </w:r>
    </w:p>
    <w:p>
      <w:pPr>
        <w:jc w:val="both"/>
        <w:spacing w:after="160" w:line="340"/>
      </w:pPr>
      <w:r>
        <w:rPr>
          <w:sz w:val="22"/>
          <w:szCs w:val="22"/>
        </w:rPr>
        <w:t xml:space="preserve">Tabla 5.15. y₁₂, y₁₃, y₁₄ — Beach et al. (2021) adaptado al español jurídico. A: n=777 bloques (50 docs). B: n=315 bloques. C: n=150 bloques (5 subcasos). Corpus A: y₁₂=0.136, y₁₃=0.270, y₁₄=0.557 | Corpus B: y₁₂=0.479, y₁₃=0.058, y₁₄=0.503 | Corpus C: y₁₂_v2=ver subcasos, y₁₃=0.103, y₁₄=0.503. Todos significativos p&lt;0.001 (Mann-Whitney U bilateral A vs B).</w:t>
      </w:r>
    </w:p>
    <w:p>
      <w:pPr>
        <w:jc w:val="both"/>
        <w:spacing w:after="160" w:line="340"/>
      </w:pPr>
      <w:r>
        <w:rPr>
          <w:sz w:val="22"/>
          <w:szCs w:val="22"/>
        </w:rPr>
        <w:t xml:space="preserve">Los tres indicadores de Beach et al. (2021) —quotes sospechosos (y₁₂), verbos atributivos (y₁₃) y evidenciales (y₁₄)— operacionalizan la injusticia testimonial en el nivel léxico-sintáctico, complementando los indicadores semánticos y₈/y₉ que operacionalizan la injusticia hermenéutica. Los tres son estadísticamente significativos A vs B (p&lt;0.001 Mann-Whitney U bilateral).</w:t>
      </w:r>
    </w:p>
    <w:p>
      <w:pPr>
        <w:jc w:val="both"/>
        <w:spacing w:after="160" w:line="340"/>
      </w:pPr>
      <w:r>
        <w:rPr>
          <w:sz w:val="22"/>
          <w:szCs w:val="22"/>
        </w:rPr>
        <w:t xml:space="preserve">El hallazgo más robusto es y₁₃ verbos atributivos: A=0.270 vs B=0.058 (4.6× mayor en justicia ordinaria). La justicia ordinaria usa significativamente más verbos de baja credibilidad —"alegó", "pretendió", "adujo", "supuestamente"— para referirse a declaraciones de las víctimas, mientras la JEP escrita adopta un registro más neutro-alto. Este resultado es coherente con la injusticia testimonial descrita por Fricker (2007): el léxico atributivo de la justicia ordinaria incorpora el credibility discount directamente en la gramática del relato judicial.</w:t>
      </w:r>
    </w:p>
    <w:p>
      <w:pPr>
        <w:jc w:val="both"/>
        <w:spacing w:after="160" w:line="340"/>
      </w:pPr>
      <w:r>
        <w:rPr>
          <w:sz w:val="22"/>
          <w:szCs w:val="22"/>
        </w:rPr>
        <w:t xml:space="preserve">y₁₂ quotes: A=0.136 vs B=0.479. El Corpus B cita directamente más que el Corpus A, lo que refleja la práctica JEP de transcribir testimonios de comparecientes y víctimas. Para el Corpus C oral, y₁₂ se operacionaliza como registro léxico MAFAPO vs militar (y₁₂_v2), dado que las transcripciones automáticas (Whisper) no preservan marcadores tipográficos de cita. Los resultados por subcaso revelan: Dabeiba (prop_MAFAPO=0.821) y Catatumbo (0.736) usan más vocabulario del campo semántico de las víctimas que Casanare (0.416), que tiene la mayor densidad de vocabulario militar del corpus C (398 palabras militares vs 201 MAFAPO).</w:t>
      </w:r>
    </w:p>
    <w:p>
      <w:pPr>
        <w:jc w:val="both"/>
        <w:spacing w:after="160" w:line="340"/>
      </w:pPr>
      <w:r>
        <w:rPr>
          <w:sz w:val="22"/>
          <w:szCs w:val="22"/>
        </w:rPr>
        <w:t xml:space="preserve">El hallazgo más importante de y₁₂_v2 es la disociación de dos niveles en Catatumbo: prop_MAFAPO=0.736 (segundo más alto — usa vocabulario de víctimas en superficie) pero y₈=0.207 (el más distante semánticamente del corpus C). El Capitán, subcaso Catatumbo usa las palabras del campo semántico de las víctimas —"hijo", "familia", "civil", "madre"— pero su discurso, medido a nivel de embedding profundo, permanece el más alejado del centroide MAFAPO. En términos de Fricker (2007), adopta el vocabulario superficial de los hermeneutical resources de las víctimas sin adoptar su estructura semántica subyacente. Esta disociación léxico-semántica es el hallazgo más sofisticado del análisis verbal del Corpus C.</w:t>
      </w:r>
    </w:p>
    <w:p>
      <w:pPr>
        <w:jc w:val="both"/>
        <w:spacing w:after="160" w:line="340"/>
      </w:pPr>
      <w:r>
        <w:rPr>
          <w:sz w:val="24"/>
          <w:szCs w:val="24"/>
          <w:b/>
          <w:color w:val="0D2137"/>
        </w:rPr>
        <w:t xml:space="preserve">5.15 ICM tri-canal v2 — canal verbal mejorado con y₁₂</w:t>
      </w:r>
    </w:p>
    <w:p>
      <w:pPr>
        <w:jc w:val="both"/>
        <w:spacing w:after="160" w:line="340"/>
      </w:pPr>
      <w:r>
        <w:rPr>
          <w:sz w:val="22"/>
          <w:szCs w:val="22"/>
        </w:rPr>
        <w:t xml:space="preserve">Tabla 5.16. ICM tri-canal v2 por subcaso. ICM_verbal_v2 = 0.60×ICM_verbal_v1(y₈) + 0.40×y₁₂_prop_MAFAPO. ICM_tri_v2 = 0.40×facial + 0.40×vocal + 0.20×verbal_v2. Casanare: Tri_v2=0.355 | Catatumbo: Tri_v2=0.295 | Dabeiba: Tri_v2=0.490 | Huila: Tri_v2=0.421.</w:t>
      </w:r>
    </w:p>
    <w:p>
      <w:pPr>
        <w:jc w:val="both"/>
        <w:spacing w:after="160" w:line="340"/>
      </w:pPr>
      <w:r>
        <w:rPr>
          <w:sz w:val="22"/>
          <w:szCs w:val="22"/>
        </w:rPr>
        <w:t xml:space="preserve">El ICM tri-canal v2 integra la dimensión léxico-superficial (y₁₂) con la dimensión semántico-profunda (y₈) en el canal verbal. El ranking se mantiene respecto a la v1: Catatumbo sigue siendo el subcaso de menor congruencia tri-canal (0.295), Dabeiba el mayor (0.490). Sin embargo, Catatumbo sube de 0.236 a 0.295 porque y₁₂ reconoce que el Capitán, subcaso Catatumbo sí usa vocabulario de víctimas en superficie —matiz que la v1 no capturaba. La mejora es metodológicamente importante: el ICM_verbal_v2 distingue entre adoptar el vocabulario (y₁₂ alto) y adoptar la semántica profunda (y₈ bajo), dos dimensiones de la corrección hermenéutica que pueden disociarse —como ocurre paradigmáticamente en Catatumbo.</w:t>
      </w:r>
    </w:p>
    <w:p>
      <w:pPr>
        <w:jc w:val="both"/>
        <w:spacing w:after="80" w:line="340"/>
      </w:pPr>
      <w:r>
        <w:rPr>
          <w:sz w:val="20"/>
          <w:szCs w:val="20"/>
          <w:i/>
          <w:color w:val="2E4057"/>
        </w:rPr>
        <w:t xml:space="preserve">Beach, M. C., et al. (2021). Testimonial Injustice: Linguistic Bias in the Medical Records of Black Patients and Women. Journal of General Internal Medicine.</w:t>
      </w:r>
    </w:p>
    <w:p>
      <w:pPr>
        <w:jc w:val="both"/>
        <w:spacing w:after="80" w:line="340"/>
      </w:pPr>
      <w:r>
        <w:rPr>
          <w:sz w:val="20"/>
          <w:szCs w:val="20"/>
          <w:i/>
          <w:color w:val="2E4057"/>
        </w:rPr>
        <w:t xml:space="preserve">Andrews, S., et al. (2023). Intersectionality and Testimonial Injustice in Medical Records. ACL Clinical NLP Workshop.</w:t>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2026-04-15T23:11:45.629Z</dcterms:created>
  <dcterms:modified xsi:type="dcterms:W3CDTF">2026-04-15T23:11:45.630Z</dcterms:modified>
</cp:coreProperties>
</file>

<file path=docProps/custom.xml><?xml version="1.0" encoding="utf-8"?>
<Properties xmlns="http://schemas.openxmlformats.org/officeDocument/2006/custom-properties" xmlns:vt="http://schemas.openxmlformats.org/officeDocument/2006/docPropsVTypes"/>
</file>