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480"/>
        <w:outlineLvl w:val="0"/>
      </w:pPr>
      <w:r>
        <w:rPr>
          <w:rFonts w:ascii="Times New Roman" w:cs="Times New Roman" w:eastAsia="Times New Roman" w:hAnsi="Times New Roman"/>
          <w:b/>
          <w:bCs/>
          <w:color w:val="0D2137"/>
          <w:sz w:val="28"/>
          <w:szCs w:val="28"/>
        </w:rPr>
        <w:t xml:space="preserve">4. Metodología</w:t>
      </w:r>
    </w:p>
    <w:p>
      <w:pPr>
        <w:spacing w:after="200" w:line="360" w:lineRule="auto"/>
        <w:ind w:firstLine="720"/>
        <w:jc w:val="both"/>
      </w:pPr>
      <w:r>
        <w:rPr>
          <w:rFonts w:ascii="Times New Roman" w:cs="Times New Roman" w:eastAsia="Times New Roman" w:hAnsi="Times New Roman"/>
          <w:color w:val="000000"/>
          <w:sz w:val="24"/>
          <w:szCs w:val="24"/>
        </w:rPr>
        <w:t xml:space="preserve">Este capítulo describe el diseño metodológico del framework CFH, organizado en seis componentes: el diseño general del estudio, la descripción del corpus multimodal, el pipeline de ingesta y procesamiento, la taxonomía de anotación, la extracción de características en tres capas, y los protocolos de validación. Cada componente es tanto una decisión metodológica como una contribución técnica diseñada para ser reproducible y extensible a otros archivos de justicia transicional.</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4.1 Diseño de la investigación</w:t>
      </w:r>
    </w:p>
    <w:p>
      <w:pPr>
        <w:spacing w:after="200" w:line="360" w:lineRule="auto"/>
        <w:ind w:firstLine="720"/>
        <w:jc w:val="both"/>
      </w:pPr>
      <w:r>
        <w:rPr>
          <w:rFonts w:ascii="Times New Roman" w:cs="Times New Roman" w:eastAsia="Times New Roman" w:hAnsi="Times New Roman"/>
          <w:color w:val="000000"/>
          <w:sz w:val="24"/>
          <w:szCs w:val="24"/>
        </w:rPr>
        <w:t xml:space="preserve">Esta investigación adopta un diseño cuasi-experimental de tipo comparativo no aleatorizado, con corpus como unidad de análisis. El diseño contrasta tres grupos de documentos que representan tres condiciones de producción textual distintas, ordenadas cronológicamente y por sistema de justicia: Corpus A (justicia ordinaria escrita, 1994-2021), Corpus B (justicia transicional escrita, 2018-2023) y Corpus C (justicia transicional oral, 2022-2024).</w:t>
      </w:r>
    </w:p>
    <w:p>
      <w:pPr>
        <w:spacing w:after="200" w:line="360" w:lineRule="auto"/>
        <w:ind w:firstLine="720"/>
        <w:jc w:val="both"/>
      </w:pPr>
      <w:r>
        <w:rPr>
          <w:rFonts w:ascii="Times New Roman" w:cs="Times New Roman" w:eastAsia="Times New Roman" w:hAnsi="Times New Roman"/>
          <w:color w:val="000000"/>
          <w:sz w:val="24"/>
          <w:szCs w:val="24"/>
        </w:rPr>
        <w:t xml:space="preserve">La lógica comparativa del diseño sigue el argumento de que si la justicia transicional produce una ruptura epistémica real, entonces el índice de injusticia discursiva debe ser significativamente menor en los grupos B y C que en el grupo A, y el Índice de Congruencia Multimodal (ICM) debe revelar si el reconocimiento oral de los comparecientes en el Corpus C presenta alta o baja congruencia multimodal entre canales. El análisis de senderos (path analysis) y el modelo de tres capas constituyen las pruebas estadísticas principales del framework.</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4.2 Descripción del corpus</w:t>
      </w:r>
    </w:p>
    <w:p>
      <w:pPr>
        <w:pStyle w:val="Heading3"/>
        <w:spacing w:after="140" w:before="280"/>
        <w:outlineLvl w:val="2"/>
      </w:pPr>
      <w:r>
        <w:rPr>
          <w:rFonts w:ascii="Times New Roman" w:cs="Times New Roman" w:eastAsia="Times New Roman" w:hAnsi="Times New Roman"/>
          <w:b/>
          <w:bCs/>
          <w:i/>
          <w:iCs/>
          <w:color w:val="000000"/>
          <w:sz w:val="24"/>
          <w:szCs w:val="24"/>
        </w:rPr>
        <w:t xml:space="preserve">4.2.1 Corpus A — Justicia ordinaria</w:t>
      </w:r>
    </w:p>
    <w:p>
      <w:pPr>
        <w:spacing w:after="200" w:line="360" w:lineRule="auto"/>
        <w:ind w:firstLine="720"/>
        <w:jc w:val="both"/>
      </w:pPr>
      <w:r>
        <w:rPr>
          <w:rFonts w:ascii="Times New Roman" w:cs="Times New Roman" w:eastAsia="Times New Roman" w:hAnsi="Times New Roman"/>
          <w:color w:val="000000"/>
          <w:sz w:val="24"/>
          <w:szCs w:val="24"/>
        </w:rPr>
        <w:t xml:space="preserve">El Corpus A está compuesto por documentos de la justicia ordinaria colombiana relacionados con casos de ejecuciones extrajudiciales, subdividido en dos subsistemas.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1400"/>
        <w:gridCol w:w="4326"/>
      </w:tblGrid>
      <w:tr>
        <w:tc>
          <w:tcPr>
            <w:tcW w:type="dxa" w:w="2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Subsistema</w:t>
            </w:r>
          </w:p>
        </w:tc>
        <w:tc>
          <w:tcPr>
            <w:tcW w:type="dxa" w:w="9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N docs</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Período</w:t>
            </w:r>
          </w:p>
        </w:tc>
        <w:tc>
          <w:tcPr>
            <w:tcW w:type="dxa" w:w="43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Secciones target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Consejo de Estado — Sección Tercera</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151</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1994–2021</w:t>
            </w:r>
          </w:p>
        </w:tc>
        <w:tc>
          <w:tcPr>
            <w:tcW w:type="dxa" w:w="43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HECHOS, CONSIDERACIONES, DECISIÓN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Corte Suprema — Sala de Casación Penal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180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2012–2020</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HECHOS JURÍDICAMENTE RELEVANTES, CARGOS, CONSIDERACIONES, DECISIÓN</w:t>
            </w:r>
          </w:p>
        </w:tc>
      </w:tr>
      <w:tr>
        <w:tc>
          <w:tcPr>
            <w:tcW w:type="dxa" w:w="2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Total Corpus A</w:t>
            </w:r>
          </w:p>
        </w:tc>
        <w:tc>
          <w:tcPr>
            <w:tcW w:type="dxa" w:w="9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331</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1994–2021</w:t>
            </w:r>
          </w:p>
        </w:tc>
        <w:tc>
          <w:tcPr>
            <w:tcW w:type="dxa" w:w="43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FFFFFF"/>
                <w:sz w:val="20"/>
                <w:szCs w:val="20"/>
              </w:rPr>
              <w:t xml:space="preserve">819 secciones | 291 JSONs procesados (90% confianza)</w:t>
            </w:r>
          </w:p>
        </w:tc>
      </w:tr>
    </w:tbl>
    <w:p>
      <w:pPr>
        <w:spacing w:after="120"/>
      </w:pPr>
      <w:r>
        <w:rPr>
          <w:rFonts w:ascii="Times New Roman" w:cs="Times New Roman" w:eastAsia="Times New Roman" w:hAnsi="Times New Roman"/>
          <w:color w:val="000000"/>
          <w:sz w:val="24"/>
          <w:szCs w:val="24"/>
        </w:rPr>
        <w:t xml:space="preserve"/>
      </w:r>
    </w:p>
    <w:p>
      <w:pPr>
        <w:pStyle w:val="Heading3"/>
        <w:spacing w:after="140" w:before="280"/>
        <w:outlineLvl w:val="2"/>
      </w:pPr>
      <w:r>
        <w:rPr>
          <w:rFonts w:ascii="Times New Roman" w:cs="Times New Roman" w:eastAsia="Times New Roman" w:hAnsi="Times New Roman"/>
          <w:b/>
          <w:bCs/>
          <w:i/>
          <w:iCs/>
          <w:color w:val="000000"/>
          <w:sz w:val="24"/>
          <w:szCs w:val="24"/>
        </w:rPr>
        <w:t xml:space="preserve">4.2.2 Corpus B — Justicia transicional escrita</w:t>
      </w:r>
    </w:p>
    <w:p>
      <w:pPr>
        <w:spacing w:after="200" w:line="360" w:lineRule="auto"/>
        <w:ind w:firstLine="720"/>
        <w:jc w:val="both"/>
      </w:pPr>
      <w:r>
        <w:rPr>
          <w:rFonts w:ascii="Times New Roman" w:cs="Times New Roman" w:eastAsia="Times New Roman" w:hAnsi="Times New Roman"/>
          <w:color w:val="000000"/>
          <w:sz w:val="24"/>
          <w:szCs w:val="24"/>
        </w:rPr>
        <w:t xml:space="preserve">El Corpus B está compuesto por providencias escritas de la Sala de Reconocimiento de Verdad (SRVR) de la JEP en el Macrocaso 003, incluyendo autos de determinación de hechos y conductas, resoluciones de conclusiones y sentencias del Tribunal para la Paz. La versión actual cuenta con 10 documentos y 54 secciones target. La versión definitiva incorpora los documentos adicionales publicados en 2023-2024 para alcanzar el objetivo de ≥200 secciones.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600"/>
        <w:gridCol w:w="2526"/>
      </w:tblGrid>
      <w:tr>
        <w:tc>
          <w:tcPr>
            <w:tcW w:type="dxa" w:w="3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Documento</w:t>
            </w:r>
          </w:p>
        </w:tc>
        <w:tc>
          <w:tcPr>
            <w:tcW w:type="dxa" w:w="7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Año</w:t>
            </w:r>
          </w:p>
        </w:tc>
        <w:tc>
          <w:tcPr>
            <w:tcW w:type="dxa" w:w="6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Estado</w:t>
            </w:r>
          </w:p>
        </w:tc>
        <w:tc>
          <w:tcPr>
            <w:tcW w:type="dxa" w:w="25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Subcaso / cobertura</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Auto 125/2021 — ADHC Norte de Santander</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2021</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Catatumbo — 120 víctimas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Auto 128/2021 — ADHC Costa Caribe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2021</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Norte del Cesar, Sur de La Guajira</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Auto 055/2022 — ADHC Casanare</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2022</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Casanare — 25 imputados</w:t>
            </w:r>
          </w:p>
        </w:tc>
      </w:tr>
      <w:tr>
        <w:tc>
          <w:tcPr>
            <w:tcW w:type="dxa" w:w="3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RC-01/2022 — Res. Conclusiones Norte de Santander</w:t>
            </w:r>
          </w:p>
        </w:tc>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2022</w:t>
            </w:r>
          </w:p>
        </w:tc>
        <w:tc>
          <w:tcPr>
            <w:tcW w:type="dxa" w:w="6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11 comparecientes — mayor densidad REP</w:t>
            </w:r>
          </w:p>
        </w:tc>
      </w:tr>
      <w:tr>
        <w:tc>
          <w:tcPr>
            <w:tcW w:type="dxa" w:w="3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RC-03/2022 — Res. Conclusiones Costa Caribe</w:t>
            </w:r>
          </w:p>
        </w:tc>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2022</w:t>
            </w:r>
          </w:p>
        </w:tc>
        <w:tc>
          <w:tcPr>
            <w:tcW w:type="dxa" w:w="6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15 comparecientes (Bat. La Popa)</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Auto SUB D-062/2023 — ADHC Antioquia (Montoya)</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2023</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Antioquia — General Mario Montoya Uribe — 821 bloques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Auto SUB D-081/2023 — ADHC Huila</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2023</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Huila — 1516 bloques</w:t>
            </w:r>
          </w:p>
        </w:tc>
      </w:tr>
      <w:tr>
        <w:tc>
          <w:tcPr>
            <w:tcW w:type="dxa" w:w="3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RC-04/2024 — Res. Conclusiones Dabeiba (Caso 03+04)</w:t>
            </w:r>
          </w:p>
        </w:tc>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2024</w:t>
            </w:r>
          </w:p>
        </w:tc>
        <w:tc>
          <w:tcPr>
            <w:tcW w:type="dxa" w:w="6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Cementerio Las Mercedes — 287 bloques</w:t>
            </w:r>
          </w:p>
        </w:tc>
      </w:tr>
      <w:tr>
        <w:tc>
          <w:tcPr>
            <w:tcW w:type="dxa" w:w="3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Sentencias Tribunal para la Paz — Sección Primera Instancia</w:t>
            </w:r>
          </w:p>
        </w:tc>
        <w:tc>
          <w:tcPr>
            <w:tcW w:type="dxa" w:w="7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2024-2025</w:t>
            </w:r>
          </w:p>
        </w:tc>
        <w:tc>
          <w:tcPr>
            <w:tcW w:type="dxa" w:w="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Sentencias definitivas con sanciones propias — pendiente</w:t>
            </w:r>
          </w:p>
        </w:tc>
      </w:tr>
      <w:tr>
        <w:tc>
          <w:tcPr>
            <w:tcW w:type="dxa" w:w="3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Total Corpus B</w:t>
            </w:r>
          </w:p>
        </w:tc>
        <w:tc>
          <w:tcPr>
            <w:tcW w:type="dxa" w:w="7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2021-2025</w:t>
            </w:r>
          </w:p>
        </w:tc>
        <w:tc>
          <w:tcPr>
            <w:tcW w:type="dxa" w:w="6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8/9 ✅</w:t>
            </w:r>
          </w:p>
        </w:tc>
        <w:tc>
          <w:tcPr>
            <w:tcW w:type="dxa" w:w="25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FFFFFF"/>
                <w:sz w:val="20"/>
                <w:szCs w:val="20"/>
              </w:rPr>
              <w:t xml:space="preserve">2.678 bloques procesados | Objetivo ≥200 ✓</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4.2. Corpus B — inventario de providencias JEP Macrocaso 003. ✅ = procesado. ⏳ = pendiente de descarga e ingesta. Amarillo = sentencias definitivas del Tribunal para la Paz.</w:t>
      </w:r>
    </w:p>
    <w:p>
      <w:pPr>
        <w:spacing w:after="200" w:line="360" w:lineRule="auto"/>
        <w:ind w:firstLine="720"/>
        <w:jc w:val="both"/>
      </w:pPr>
      <w:r>
        <w:rPr>
          <w:rFonts w:ascii="Times New Roman" w:cs="Times New Roman" w:eastAsia="Times New Roman" w:hAnsi="Times New Roman"/>
          <w:color w:val="000000"/>
          <w:sz w:val="24"/>
          <w:szCs w:val="24"/>
        </w:rPr>
        <w:t xml:space="preserve">Todos los documentos listados son de acceso público en el portal oficial de la JEP (jep.gov.co → Sala de Prensa → Macrocaso 003 → Providencias). La incorporación de las sentencias definitivas del Tribunal para la Paz es metodológicamente crítica: constituyen el texto jurídico de mayor densidad de REP en el corpus completo — son el momento en que la JEP impone formalmente las sanciones propias y consolida el reconocimiento de responsabilidad en lenguaje jurídicamente vinculante.</w:t>
      </w:r>
    </w:p>
    <w:p>
      <w:pPr>
        <w:spacing w:after="120"/>
      </w:pPr>
      <w:r>
        <w:rPr>
          <w:rFonts w:ascii="Times New Roman" w:cs="Times New Roman" w:eastAsia="Times New Roman" w:hAnsi="Times New Roman"/>
          <w:color w:val="000000"/>
          <w:sz w:val="24"/>
          <w:szCs w:val="24"/>
        </w:rPr>
        <w:t xml:space="preserve"/>
      </w:r>
    </w:p>
    <w:p>
      <w:pPr>
        <w:pStyle w:val="Heading3"/>
        <w:spacing w:after="140" w:before="280"/>
        <w:outlineLvl w:val="2"/>
      </w:pPr>
      <w:r>
        <w:rPr>
          <w:rFonts w:ascii="Times New Roman" w:cs="Times New Roman" w:eastAsia="Times New Roman" w:hAnsi="Times New Roman"/>
          <w:b/>
          <w:bCs/>
          <w:i/>
          <w:iCs/>
          <w:color w:val="000000"/>
          <w:sz w:val="24"/>
          <w:szCs w:val="24"/>
        </w:rPr>
        <w:t xml:space="preserve">4.2.3 Corpus C — Justicia transicional oral</w:t>
      </w:r>
    </w:p>
    <w:p>
      <w:pPr>
        <w:spacing w:after="200" w:line="360" w:lineRule="auto"/>
        <w:ind w:firstLine="720"/>
        <w:jc w:val="both"/>
      </w:pPr>
      <w:r>
        <w:rPr>
          <w:rFonts w:ascii="Times New Roman" w:cs="Times New Roman" w:eastAsia="Times New Roman" w:hAnsi="Times New Roman"/>
          <w:color w:val="000000"/>
          <w:sz w:val="24"/>
          <w:szCs w:val="24"/>
        </w:rPr>
        <w:t xml:space="preserve">El Corpus C está compuesto por las transcripciones y diarizaciones de las cinco audiencias públicas de reconocimiento de verdad y de responsabilidad del Macrocaso 003. Las transcripciones fueron producidas con Whisper-medium (Radford et al., 2022) en español colombiano. La diarización de hablantes — separación automática de los turnos de comparecientes, magistrados y víctimas — fue realizada con pyannote-audio 3.1 (Bredin et al., 2023) con GPU T4.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000"/>
        <w:gridCol w:w="1200"/>
        <w:gridCol w:w="1200"/>
        <w:gridCol w:w="2526"/>
      </w:tblGrid>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Audiencia</w:t>
            </w:r>
          </w:p>
        </w:tc>
        <w:tc>
          <w:tcPr>
            <w:tcW w:type="dxa" w:w="9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Duración</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Chars</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Bloques</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Diarización</w:t>
            </w:r>
          </w:p>
        </w:tc>
        <w:tc>
          <w:tcPr>
            <w:tcW w:type="dxa" w:w="25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Hablante principal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Catatumbo (Norte de Santander)</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9.5h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115K</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58</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4.535 seg. | gaps min. 240-330 (silencio)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Costa Caribe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10.5h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255K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128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~2.659 segmentos diarizados</w:t>
            </w:r>
          </w:p>
        </w:tc>
      </w:tr>
      <w:tr>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Casanare — General, subcaso Casanare</w:t>
            </w:r>
          </w:p>
        </w:tc>
        <w:tc>
          <w:tcPr>
            <w:tcW w:type="dxa" w:w="9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5.3h</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248K</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124</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1.389 seg. | SPEAKER_03=58.7% compareciente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Dabeiba — Antioquia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2.3h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287K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144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1.809 segmentos diarizados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Huila</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10.5h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267K</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134</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6.281 segmentos diarizados</w:t>
            </w:r>
          </w:p>
        </w:tc>
      </w:tr>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Total Corpus C</w:t>
            </w:r>
          </w:p>
        </w:tc>
        <w:tc>
          <w:tcPr>
            <w:tcW w:type="dxa" w:w="9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38.1h</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1.17M</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588</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5/5 ✅</w:t>
            </w:r>
          </w:p>
        </w:tc>
        <w:tc>
          <w:tcPr>
            <w:tcW w:type="dxa" w:w="25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FFFFFF"/>
                <w:sz w:val="20"/>
                <w:szCs w:val="20"/>
              </w:rPr>
              <w:t xml:space="preserve">~16.673 segmentos diarizados — Corpus C completo</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4.1. Corpus C — audiencias diarizadas. ✅ = completado. Diarización 5/5 completada con pyannote-audio 3.x.</w:t>
      </w:r>
    </w:p>
    <w:p>
      <w:pPr>
        <w:spacing w:after="200" w:line="360" w:lineRule="auto"/>
        <w:ind w:firstLine="720"/>
        <w:jc w:val="both"/>
      </w:pPr>
      <w:r>
        <w:rPr>
          <w:rFonts w:ascii="Times New Roman" w:cs="Times New Roman" w:eastAsia="Times New Roman" w:hAnsi="Times New Roman"/>
          <w:color w:val="000000"/>
          <w:sz w:val="24"/>
          <w:szCs w:val="24"/>
        </w:rPr>
        <w:t xml:space="preserve">Las cinco audiencias del Corpus C fueron diarizadas completamente con pyannote-audio en Colab con GPU T4, procesando el audio en chunks de 30 minutos para evitar problemas de memoria. La diarización del subcaso Casanare (General General, subcaso Casanare) identificó 5 hablantes en 1.389 segmentos: SPEAKER_03 con 58.7% del tiempo (compareciente), SPEAKER_04 con 25.9% (magistrado relator) y SPEAKER_01 con 15.1% (representante de víctimas). El subcaso Catatumbo presenta gaps en los minutos 240-330 — confirmados como silencio o audio ininteligible en dos corridas independientes, no como error del pipeline. El total de 16.673 segmentos diarizados es el insumo fundamental para la Capa 3 multimodal.</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4.3 Pipeline de ingesta y procesamiento</w:t>
      </w:r>
    </w:p>
    <w:p>
      <w:pPr>
        <w:spacing w:after="200" w:line="360" w:lineRule="auto"/>
        <w:ind w:firstLine="720"/>
        <w:jc w:val="both"/>
      </w:pPr>
      <w:r>
        <w:rPr>
          <w:rFonts w:ascii="Times New Roman" w:cs="Times New Roman" w:eastAsia="Times New Roman" w:hAnsi="Times New Roman"/>
          <w:color w:val="000000"/>
          <w:sz w:val="24"/>
          <w:szCs w:val="24"/>
        </w:rPr>
        <w:t xml:space="preserve">El pipeline de ingesta transforma los documentos judiciales en bruto en representaciones estructuradas (JSON) sobre las que opera el extractor de características. El pipeline implementa el principio de cadena de custodia digital: cada transformación es auditable y reproducible mediante un identificador SHA-256 que acompaña a cada documento procesado. Implementa cuatro módulos: limpieza (cleaner.py), metadatos (metadata.py), segmentación (segmenter.py) y conversión de formatos.</w:t>
      </w:r>
    </w:p>
    <w:p>
      <w:pPr>
        <w:spacing w:after="200" w:line="360" w:lineRule="auto"/>
        <w:ind w:firstLine="720"/>
        <w:jc w:val="both"/>
      </w:pPr>
      <w:r>
        <w:rPr>
          <w:rFonts w:ascii="Times New Roman" w:cs="Times New Roman" w:eastAsia="Times New Roman" w:hAnsi="Times New Roman"/>
          <w:color w:val="000000"/>
          <w:sz w:val="24"/>
          <w:szCs w:val="24"/>
        </w:rPr>
        <w:t xml:space="preserve">El módulo de segmentación divide cada documento en sus secciones semánticamente significativas. Las secciones target varían por subsistema: CE usa HECHOS/CONSIDERACIONES/DECISIÓN; CSJ usa HECHOS_JURÍDICAMENTE_RELEVANTES/CARGOS/CONSIDERACIONES/DECISIÓN; JEP escrita usa HECHOS_Y_CONDUCTAS/PATRONES_MACROCRIMINALES/CALIFICACION_JURIDICA/RECONOCIMIENTO/RESUELVE; JEP oral usa TESTIMONIO_COMPARECIENTE/TESTIMONIO_VICTIMA diferenciados por diarización de hablantes.</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4.4 Taxonomía de anotación CFH y protocolo IAA</w:t>
      </w:r>
    </w:p>
    <w:p>
      <w:pPr>
        <w:pStyle w:val="Heading3"/>
        <w:spacing w:after="140" w:before="280"/>
        <w:outlineLvl w:val="2"/>
      </w:pPr>
      <w:r>
        <w:rPr>
          <w:rFonts w:ascii="Times New Roman" w:cs="Times New Roman" w:eastAsia="Times New Roman" w:hAnsi="Times New Roman"/>
          <w:b/>
          <w:bCs/>
          <w:i/>
          <w:iCs/>
          <w:color w:val="000000"/>
          <w:sz w:val="24"/>
          <w:szCs w:val="24"/>
        </w:rPr>
        <w:t xml:space="preserve">4.4.1 Las cuatro categorías de la Taxonomía CFH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800"/>
        <w:gridCol w:w="3200"/>
        <w:gridCol w:w="3826"/>
      </w:tblGrid>
      <w:tr>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Categoría</w:t>
            </w:r>
          </w:p>
        </w:tc>
        <w:tc>
          <w:tcPr>
            <w:tcW w:type="dxa" w:w="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Símbolo</w:t>
            </w:r>
          </w:p>
        </w:tc>
        <w:tc>
          <w:tcPr>
            <w:tcW w:type="dxa" w:w="3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Definición operacional</w:t>
            </w:r>
          </w:p>
        </w:tc>
        <w:tc>
          <w:tcPr>
            <w:tcW w:type="dxa" w:w="38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Variable latente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Eufemismo Bélico-Institucional</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EBI</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Expresión que reemplaza la denominación directa de un homicidio de civil por una denominación que lo enmarca como acción militar legítima</w:t>
            </w:r>
          </w:p>
        </w:tc>
        <w:tc>
          <w:tcPr>
            <w:tcW w:type="dxa" w:w="3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ξ₁ Violencia Discursiva — indicador y₁</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Supresión de Agentividad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SA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Construcción gramatical que oculta al agente responsable de la acción violenta mediante pasivas, nominalizaciones o sujetos impersonales</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ξ₁ Violencia Discursiva — indicador y₂</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Negación de Victimización</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NV</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Expresión que recategoriza a la persona asesinada como combatiente o sujeto ilegítimo, negando su condición de víctima civil</w:t>
            </w:r>
          </w:p>
        </w:tc>
        <w:tc>
          <w:tcPr>
            <w:tcW w:type="dxa" w:w="3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ξ₁ Violencia Discursiva — indicador y₄</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Ruptura Epistémica Positiva</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REP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Expresión que reconoce explícitamente la condición de víctima civil, la ilegitimidad de la acción, o adopta el marco semántico de los derechos humanos</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η₂ Transición Epistémica — indicador y₁₀</w:t>
            </w:r>
          </w:p>
        </w:tc>
      </w:tr>
    </w:tbl>
    <w:p>
      <w:pPr>
        <w:spacing w:after="120"/>
      </w:pPr>
      <w:r>
        <w:rPr>
          <w:rFonts w:ascii="Times New Roman" w:cs="Times New Roman" w:eastAsia="Times New Roman" w:hAnsi="Times New Roman"/>
          <w:color w:val="000000"/>
          <w:sz w:val="24"/>
          <w:szCs w:val="24"/>
        </w:rPr>
        <w:t xml:space="preserve"/>
      </w:r>
    </w:p>
    <w:p>
      <w:pPr>
        <w:pStyle w:val="Heading3"/>
        <w:spacing w:after="140" w:before="280"/>
        <w:outlineLvl w:val="2"/>
      </w:pPr>
      <w:r>
        <w:rPr>
          <w:rFonts w:ascii="Times New Roman" w:cs="Times New Roman" w:eastAsia="Times New Roman" w:hAnsi="Times New Roman"/>
          <w:b/>
          <w:bCs/>
          <w:i/>
          <w:iCs/>
          <w:color w:val="000000"/>
          <w:sz w:val="24"/>
          <w:szCs w:val="24"/>
        </w:rPr>
        <w:t xml:space="preserve">4.4.2 Protocolo IAA</w:t>
      </w:r>
    </w:p>
    <w:p>
      <w:pPr>
        <w:spacing w:after="200" w:line="360" w:lineRule="auto"/>
        <w:ind w:firstLine="720"/>
        <w:jc w:val="both"/>
      </w:pPr>
      <w:r>
        <w:rPr>
          <w:rFonts w:ascii="Times New Roman" w:cs="Times New Roman" w:eastAsia="Times New Roman" w:hAnsi="Times New Roman"/>
          <w:color w:val="000000"/>
          <w:sz w:val="24"/>
          <w:szCs w:val="24"/>
        </w:rPr>
        <w:t xml:space="preserve">La validación de la taxonomía se realiza mediante anotación doble-ciega sobre 100 fragmentos (50 Corpus A, 50 Corpus B) en Label Studio. La primera ronda fue completada por la autora: 7.764 tokens anotados (REP: 3.790, EBI: 1.839, SA: 913, NV: 326). La segunda ronda por un anotador independiente está en proceso. El umbral es κ &gt; 0.80 (Landis y Koch, 1977). La versión definitiva requerirá κ &gt; 0.80 sobre al menos 500 fragmentos para entrenar CFH-BERT v2 definitivo.</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4.5 Extracción de características — tres capas</w:t>
      </w:r>
    </w:p>
    <w:p>
      <w:pPr>
        <w:pStyle w:val="Heading3"/>
        <w:spacing w:after="140" w:before="280"/>
        <w:outlineLvl w:val="2"/>
      </w:pPr>
      <w:r>
        <w:rPr>
          <w:rFonts w:ascii="Times New Roman" w:cs="Times New Roman" w:eastAsia="Times New Roman" w:hAnsi="Times New Roman"/>
          <w:b/>
          <w:bCs/>
          <w:i/>
          <w:iCs/>
          <w:color w:val="000000"/>
          <w:sz w:val="24"/>
          <w:szCs w:val="24"/>
        </w:rPr>
        <w:t xml:space="preserve">4.5.1 Modelo de lenguaje base: ConfliBERT-Spanish</w:t>
      </w:r>
    </w:p>
    <w:p>
      <w:pPr>
        <w:spacing w:after="200" w:line="360" w:lineRule="auto"/>
        <w:ind w:firstLine="720"/>
        <w:jc w:val="both"/>
      </w:pPr>
      <w:r>
        <w:rPr>
          <w:rFonts w:ascii="Times New Roman" w:cs="Times New Roman" w:eastAsia="Times New Roman" w:hAnsi="Times New Roman"/>
          <w:color w:val="000000"/>
          <w:sz w:val="24"/>
          <w:szCs w:val="24"/>
        </w:rPr>
        <w:t xml:space="preserve">El extractor utiliza ConfliBERT-Spanish-Beto-Cased-v1 (Yang et al., 2023) para los indicadores semánticos y₈ y y₉. Disponible en HuggingFace (eventdata-utd/ConfliBERT-Spanish-Beto-Cased-v1), está basado en BETO con continual pretraining sobre ~200GB de corpus de conflicto y violencia política latinoamericana. CFH-BERT v2 — fine-tuning supervisado con IO tagging y weighted loss sobre 100 anotaciones — alcanza F1 macro=0.58 (vs 0.27 de v1), con F1 REP=0.77 y F1 NV=0.32.</w:t>
      </w:r>
    </w:p>
    <w:p>
      <w:pPr>
        <w:pStyle w:val="Heading3"/>
        <w:spacing w:after="140" w:before="280"/>
        <w:outlineLvl w:val="2"/>
      </w:pPr>
      <w:r>
        <w:rPr>
          <w:rFonts w:ascii="Times New Roman" w:cs="Times New Roman" w:eastAsia="Times New Roman" w:hAnsi="Times New Roman"/>
          <w:b/>
          <w:bCs/>
          <w:i/>
          <w:iCs/>
          <w:color w:val="000000"/>
          <w:sz w:val="24"/>
          <w:szCs w:val="24"/>
        </w:rPr>
        <w:t xml:space="preserve">4.5.2 Capa 1 — Indicadores léxicos</w:t>
      </w:r>
    </w:p>
    <w:p>
      <w:pPr>
        <w:spacing w:after="200" w:line="360" w:lineRule="auto"/>
        <w:ind w:firstLine="720"/>
        <w:jc w:val="both"/>
      </w:pPr>
      <w:r>
        <w:rPr>
          <w:rFonts w:ascii="Times New Roman" w:cs="Times New Roman" w:eastAsia="Times New Roman" w:hAnsi="Times New Roman"/>
          <w:color w:val="000000"/>
          <w:sz w:val="24"/>
          <w:szCs w:val="24"/>
        </w:rPr>
        <w:t xml:space="preserve">Los indicadores léxicos se extraen sobre los Corpus A, B y C sin GPU mediante spaCy (es_core_news_lg), TF-IDF y CFH-BERT:</w:t>
      </w:r>
    </w:p>
    <w:p>
      <w:pPr>
        <w:pStyle w:val="ListParagraph"/>
        <w:numPr>
          <w:ilvl w:val="0"/>
          <w:numId w:val="2"/>
        </w:numPr>
        <w:spacing w:after="120"/>
        <w:jc w:val="both"/>
      </w:pPr>
      <w:r>
        <w:rPr>
          <w:rFonts w:ascii="Times New Roman" w:cs="Times New Roman" w:eastAsia="Times New Roman" w:hAnsi="Times New Roman"/>
          <w:sz w:val="22"/>
          <w:szCs w:val="22"/>
        </w:rPr>
        <w:t xml:space="preserve">y₁ EBI Score — frecuencia normalizada de tokens EBI por sección, mediante extractor de ventana deslizante (window=400, stride=100). CFH-BERT v2.</w:t>
      </w:r>
    </w:p>
    <w:p>
      <w:pPr>
        <w:pStyle w:val="ListParagraph"/>
        <w:numPr>
          <w:ilvl w:val="0"/>
          <w:numId w:val="2"/>
        </w:numPr>
        <w:spacing w:after="120"/>
        <w:jc w:val="both"/>
      </w:pPr>
      <w:r>
        <w:rPr>
          <w:rFonts w:ascii="Times New Roman" w:cs="Times New Roman" w:eastAsia="Times New Roman" w:hAnsi="Times New Roman"/>
          <w:sz w:val="22"/>
          <w:szCs w:val="22"/>
        </w:rPr>
        <w:t xml:space="preserve">y₂ SA Score — proporción de construcciones pasivas sin agente, nominalizaciones y sujetos impersonales. spaCy dependency parsing.</w:t>
      </w:r>
    </w:p>
    <w:p>
      <w:pPr>
        <w:pStyle w:val="ListParagraph"/>
        <w:numPr>
          <w:ilvl w:val="0"/>
          <w:numId w:val="2"/>
        </w:numPr>
        <w:spacing w:after="120"/>
        <w:jc w:val="both"/>
      </w:pPr>
      <w:r>
        <w:rPr>
          <w:rFonts w:ascii="Times New Roman" w:cs="Times New Roman" w:eastAsia="Times New Roman" w:hAnsi="Times New Roman"/>
          <w:sz w:val="22"/>
          <w:szCs w:val="22"/>
        </w:rPr>
        <w:t xml:space="preserve">y₃ Distancia léxico civil — distancia coseno entre el vector léxico de la sección y un léxico de referencia civil construido con testimonios MAFAPO. TF-IDF.</w:t>
      </w:r>
    </w:p>
    <w:p>
      <w:pPr>
        <w:pStyle w:val="ListParagraph"/>
        <w:numPr>
          <w:ilvl w:val="0"/>
          <w:numId w:val="2"/>
        </w:numPr>
        <w:spacing w:after="120"/>
        <w:jc w:val="both"/>
      </w:pPr>
      <w:r>
        <w:rPr>
          <w:rFonts w:ascii="Times New Roman" w:cs="Times New Roman" w:eastAsia="Times New Roman" w:hAnsi="Times New Roman"/>
          <w:sz w:val="22"/>
          <w:szCs w:val="22"/>
        </w:rPr>
        <w:t xml:space="preserve">y₄ NV Score — frecuencia normalizada de tokens NV. CFH-BERT v2.</w:t>
      </w:r>
    </w:p>
    <w:p>
      <w:pPr>
        <w:pStyle w:val="ListParagraph"/>
        <w:numPr>
          <w:ilvl w:val="0"/>
          <w:numId w:val="2"/>
        </w:numPr>
        <w:spacing w:after="120"/>
        <w:jc w:val="both"/>
      </w:pPr>
      <w:r>
        <w:rPr>
          <w:rFonts w:ascii="Times New Roman" w:cs="Times New Roman" w:eastAsia="Times New Roman" w:hAnsi="Times New Roman"/>
          <w:sz w:val="22"/>
          <w:szCs w:val="22"/>
        </w:rPr>
        <w:t xml:space="preserve">Persona gramatical — ratio de pronombres en primera persona activa («yo», «nosotros») vs. construcciones pasivas e impersonales. Operacionaliza la accountability individual vs. institucional. spaCy POS tagging.</w:t>
      </w:r>
    </w:p>
    <w:p>
      <w:pPr>
        <w:pStyle w:val="ListParagraph"/>
        <w:numPr>
          <w:ilvl w:val="0"/>
          <w:numId w:val="2"/>
        </w:numPr>
        <w:spacing w:after="120"/>
        <w:jc w:val="both"/>
      </w:pPr>
      <w:r>
        <w:rPr>
          <w:rFonts w:ascii="Times New Roman" w:cs="Times New Roman" w:eastAsia="Times New Roman" w:hAnsi="Times New Roman"/>
          <w:sz w:val="22"/>
          <w:szCs w:val="22"/>
        </w:rPr>
        <w:t xml:space="preserve">Hedging — frecuencia de marcadores de evasión epistémica («tal vez», «podría», «en cierta medida», «posiblemente»). Diccionario + dependency parsing. Indica evitación de compromisos afirmativos.</w:t>
      </w:r>
    </w:p>
    <w:p>
      <w:pPr>
        <w:pStyle w:val="ListParagraph"/>
        <w:numPr>
          <w:ilvl w:val="0"/>
          <w:numId w:val="2"/>
        </w:numPr>
        <w:spacing w:after="120"/>
        <w:jc w:val="both"/>
      </w:pPr>
      <w:r>
        <w:rPr>
          <w:rFonts w:ascii="Times New Roman" w:cs="Times New Roman" w:eastAsia="Times New Roman" w:hAnsi="Times New Roman"/>
          <w:sz w:val="22"/>
          <w:szCs w:val="22"/>
        </w:rPr>
        <w:t xml:space="preserve">Léxico emocional — carga emocional del segmento en 8 dimensiones (ira, miedo, tristeza, anticipación, alegría, sorpresa, disgusto, confianza). NRC Emotion Lexicon + pysentimiento.</w:t>
      </w:r>
    </w:p>
    <w:p>
      <w:pPr>
        <w:pStyle w:val="Heading3"/>
        <w:spacing w:after="140" w:before="280"/>
        <w:outlineLvl w:val="2"/>
      </w:pPr>
      <w:r>
        <w:rPr>
          <w:rFonts w:ascii="Times New Roman" w:cs="Times New Roman" w:eastAsia="Times New Roman" w:hAnsi="Times New Roman"/>
          <w:b/>
          <w:bCs/>
          <w:i/>
          <w:iCs/>
          <w:color w:val="000000"/>
          <w:sz w:val="24"/>
          <w:szCs w:val="24"/>
        </w:rPr>
        <w:t xml:space="preserve">4.5.3 Capa 2 — Indicadores semánticos</w:t>
      </w:r>
    </w:p>
    <w:p>
      <w:pPr>
        <w:spacing w:after="200" w:line="360" w:lineRule="auto"/>
        <w:ind w:firstLine="720"/>
        <w:jc w:val="both"/>
      </w:pPr>
      <w:r>
        <w:rPr>
          <w:rFonts w:ascii="Times New Roman" w:cs="Times New Roman" w:eastAsia="Times New Roman" w:hAnsi="Times New Roman"/>
          <w:color w:val="000000"/>
          <w:sz w:val="24"/>
          <w:szCs w:val="24"/>
        </w:rPr>
        <w:t xml:space="preserve">Los indicadores semánticos operan sobre el espacio de embeddings de ConfliBERT-Spanish:</w:t>
      </w:r>
    </w:p>
    <w:p>
      <w:pPr>
        <w:pStyle w:val="ListParagraph"/>
        <w:numPr>
          <w:ilvl w:val="0"/>
          <w:numId w:val="2"/>
        </w:numPr>
        <w:spacing w:after="120"/>
        <w:jc w:val="both"/>
      </w:pPr>
      <w:r>
        <w:rPr>
          <w:rFonts w:ascii="Times New Roman" w:cs="Times New Roman" w:eastAsia="Times New Roman" w:hAnsi="Times New Roman"/>
          <w:sz w:val="22"/>
          <w:szCs w:val="22"/>
        </w:rPr>
        <w:t xml:space="preserve">y₇ Surprisal — log-probabilidades de BETO para detectar eufemismos normalizados. Un surprisal bajo indica que el término es altamente esperado en el corpus militar (normalizado), un surprisal alto indica desautomatización del eufemismo.</w:t>
      </w:r>
    </w:p>
    <w:p>
      <w:pPr>
        <w:pStyle w:val="ListParagraph"/>
        <w:numPr>
          <w:ilvl w:val="0"/>
          <w:numId w:val="2"/>
        </w:numPr>
        <w:spacing w:after="120"/>
        <w:jc w:val="both"/>
      </w:pPr>
      <w:r>
        <w:rPr>
          <w:rFonts w:ascii="Times New Roman" w:cs="Times New Roman" w:eastAsia="Times New Roman" w:hAnsi="Times New Roman"/>
          <w:sz w:val="22"/>
          <w:szCs w:val="22"/>
        </w:rPr>
        <w:t xml:space="preserve">y₈ Distancia MAFAPO — distancia coseno entre el embedding del segmento y el centroide MAFAPO v2 (25 textos reales). Implementado: A=0.211, B=0.191, C=0.191 (p&lt;0.001).</w:t>
      </w:r>
    </w:p>
    <w:p>
      <w:pPr>
        <w:pStyle w:val="ListParagraph"/>
        <w:numPr>
          <w:ilvl w:val="0"/>
          <w:numId w:val="2"/>
        </w:numPr>
        <w:spacing w:after="120"/>
        <w:jc w:val="both"/>
      </w:pPr>
      <w:r>
        <w:rPr>
          <w:rFonts w:ascii="Times New Roman" w:cs="Times New Roman" w:eastAsia="Times New Roman" w:hAnsi="Times New Roman"/>
          <w:sz w:val="22"/>
          <w:szCs w:val="22"/>
        </w:rPr>
        <w:t xml:space="preserve">y₉ Distancia CIDH — distancia coseno entre el embedding y el centroide CIDH v2 (25 sentencias). Implementado: A=0.254, B=0.235 (p&lt;0.001).</w:t>
      </w:r>
    </w:p>
    <w:p>
      <w:pPr>
        <w:pStyle w:val="ListParagraph"/>
        <w:numPr>
          <w:ilvl w:val="0"/>
          <w:numId w:val="2"/>
        </w:numPr>
        <w:spacing w:after="120"/>
        <w:jc w:val="both"/>
      </w:pPr>
      <w:r>
        <w:rPr>
          <w:rFonts w:ascii="Times New Roman" w:cs="Times New Roman" w:eastAsia="Times New Roman" w:hAnsi="Times New Roman"/>
          <w:sz w:val="22"/>
          <w:szCs w:val="22"/>
        </w:rPr>
        <w:t xml:space="preserve">UMAP/t-SNE — visualización del espacio de embeddings para mostrar la separación entre Corpus A, B y C. Contribución visual de la Capa 2.</w:t>
      </w:r>
    </w:p>
    <w:p>
      <w:pPr>
        <w:pStyle w:val="ListParagraph"/>
        <w:numPr>
          <w:ilvl w:val="0"/>
          <w:numId w:val="2"/>
        </w:numPr>
        <w:spacing w:after="120"/>
        <w:jc w:val="both"/>
      </w:pPr>
      <w:r>
        <w:rPr>
          <w:rFonts w:ascii="Times New Roman" w:cs="Times New Roman" w:eastAsia="Times New Roman" w:hAnsi="Times New Roman"/>
          <w:sz w:val="22"/>
          <w:szCs w:val="22"/>
        </w:rPr>
        <w:t xml:space="preserve">Convergencia temporal — evolución de la distancia MAFAPO/CIDH a lo largo del tiempo para medir si la JEP se acerca a las víctimas año a año.</w:t>
      </w:r>
    </w:p>
    <w:p>
      <w:pPr>
        <w:pStyle w:val="ListParagraph"/>
        <w:numPr>
          <w:ilvl w:val="0"/>
          <w:numId w:val="2"/>
        </w:numPr>
        <w:spacing w:after="120"/>
        <w:jc w:val="both"/>
      </w:pPr>
      <w:r>
        <w:rPr>
          <w:rFonts w:ascii="Times New Roman" w:cs="Times New Roman" w:eastAsia="Times New Roman" w:hAnsi="Times New Roman"/>
          <w:sz w:val="22"/>
          <w:szCs w:val="22"/>
        </w:rPr>
        <w:t xml:space="preserve">y₁₁ Convergencia restaurativa — similitud coseno entre el embedding y el centroide de léxico restaurativo JEP.</w:t>
      </w:r>
    </w:p>
    <w:p>
      <w:pPr>
        <w:pStyle w:val="Heading3"/>
        <w:spacing w:after="140" w:before="280"/>
        <w:outlineLvl w:val="2"/>
      </w:pPr>
      <w:r>
        <w:rPr>
          <w:rFonts w:ascii="Times New Roman" w:cs="Times New Roman" w:eastAsia="Times New Roman" w:hAnsi="Times New Roman"/>
          <w:b/>
          <w:bCs/>
          <w:i/>
          <w:iCs/>
          <w:color w:val="000000"/>
          <w:sz w:val="24"/>
          <w:szCs w:val="24"/>
        </w:rPr>
        <w:t xml:space="preserve">4.5.4 Capa 3 — Indicadores multimodales (solo Corpus C)</w:t>
      </w:r>
    </w:p>
    <w:p>
      <w:pPr>
        <w:spacing w:after="200" w:line="360" w:lineRule="auto"/>
        <w:ind w:firstLine="720"/>
        <w:jc w:val="both"/>
      </w:pPr>
      <w:r>
        <w:rPr>
          <w:rFonts w:ascii="Times New Roman" w:cs="Times New Roman" w:eastAsia="Times New Roman" w:hAnsi="Times New Roman"/>
          <w:color w:val="000000"/>
          <w:sz w:val="24"/>
          <w:szCs w:val="24"/>
        </w:rPr>
        <w:t xml:space="preserve">La Capa 3 opera exclusivamente sobre los segmentos del compareciente identificados por la diarización de pyannote-audio 3.x. Los videos de las audiencias JEP fueron descargados del canal @JEP_Colombia (YouTube) mediante yt-dlp y procesados en Google Colab con GPU T4. Se dispone de 4 de 5 videos (Costa Caribe pendiente por DRM).</w:t>
      </w:r>
    </w:p>
    <w:p>
      <w:pPr>
        <w:spacing w:after="200" w:line="360" w:lineRule="auto"/>
        <w:ind w:firstLine="720"/>
        <w:jc w:val="both"/>
      </w:pPr>
      <w:r>
        <w:rPr>
          <w:rFonts w:ascii="Times New Roman" w:cs="Times New Roman" w:eastAsia="Times New Roman" w:hAnsi="Times New Roman"/>
          <w:b/>
          <w:bCs/>
          <w:color w:val="000000"/>
          <w:sz w:val="24"/>
          <w:szCs w:val="24"/>
        </w:rPr>
        <w:t xml:space="preserve">4.5.4.1 Features faciales — OpenFace 3.0 (Baltrusaitis et al., 2025) para Catatumbo, Casanare, Dabeiba y Huila; MediaPipe FaceLandmarker (Lugaresi et al., 2023) para Costa Caribe. </w:t>
      </w:r>
      <w:r>
        <w:rPr>
          <w:rFonts w:ascii="Times New Roman" w:cs="Times New Roman" w:eastAsia="Times New Roman" w:hAnsi="Times New Roman"/>
          <w:color w:val="000000"/>
          <w:sz w:val="24"/>
          <w:szCs w:val="24"/>
        </w:rPr>
        <w:t xml:space="preserve">OpenFace 3.0 (Baltrusaitis et al., 2025) para Catatumbo, Casanare, Dabeiba y Huila; MediaPipe FaceLandmarker (Lugaresi et al., 2023) para Costa Caribe v0.10 (Lugaresi et al., 2023) extrae 52 blendshapes faciales por frame en modo IMAGE. Por segmento diarizado se muestrean hasta 20 frames y se calcula la media de cada blendshape.
La extracción de features faciales y prosódicas se restringió al compareciente mediante un procedimiento de verificación de identidad (Guía Metodológica de Muestreo Multimodal, Zuluaga, 2026). Para cada subcaso se enroló una imagen de referencia del compareciente y se aceptaron únicamente los rostros cuyo descriptor facial (face_recognition, 128-d) coincidía con la referencia bajo un umbral de distancia de 0.55, y que superaban un mínimo de calidad (ancho de rostro ≥ 100 px, vista cuasi-frontal). El hablante objetivo se verificó manualmente sobre la diarización para cada audiencia. La unidad de análisis es la intervención (turno) del compareciente; las Action Units se agregaron por turno mediante la mediana de los frames válidos, y la prosodia mediante los functionals eGeMAPS del segmento. Se reporta la cobertura (porcentaje de frames válidos) por subcaso; dada la resolución de archivo (360p) y el número de subcasos (n=5), los resultados multimodales se interpretan de forma exploratoria. Los 6 blendshapes más relevantes para el ICM se mapean a Action Units FACS: AU1 (browInnerUp — angustia interna), AU4 (browDownLeft — ceño fruncido), AU6 (eyeSquintLeft — sonrisa Duchenne), AU12 (mouthSmileLeft — comisura labial), AU15 (mouthFrownLeft — tristeza), AU17 (mouthShrugLower — duda). La tasa de detección facial varía por audiencia (86% Casanare, 55% Catatumbo, 40% Dabeiba, 93% Huila) según el ángulo y distancia de la cámara — limitación metodológica reportada explícitamente.</w:t>
      </w:r>
    </w:p>
    <w:p>
      <w:pPr>
        <w:spacing w:after="200" w:line="360" w:lineRule="auto"/>
        <w:ind w:firstLine="720"/>
        <w:jc w:val="both"/>
      </w:pPr>
      <w:r>
        <w:rPr>
          <w:sz w:val="24"/>
          <w:szCs w:val="24"/>
        </w:rPr>
        <w:t xml:space="preserve">Una limitación metodológica crítica de OpenFace 3.0 (Baltrusaitis et al., 2025) para Catatumbo, Casanare, Dabeiba y Huila; MediaPipe FaceLandmarker (Lugaresi et al., 2023) para Costa Caribe es su sesgo de entrenamiento. Buolamwini y Gebru (2018) demostraron que los clasificadores de reconocimiento facial comerciales presentan tasas de error significativamente mayores en personas de piel oscura (hasta 34.7 puntos de diferencia). No existe auditoría pública de MediaPipe sobre rostros mestizos, afrocolombianos o indígenas. Los resultados de la Capa 3 facial deben interpretarse con esta limitación explícita, y una auditoría intersectional conforme al protocolo Gender Shades es una línea futura prioritaria.</w:t>
      </w:r>
    </w:p>
    <w:p>
      <w:pPr>
        <w:spacing w:after="200" w:line="360" w:lineRule="auto"/>
        <w:ind w:firstLine="720"/>
        <w:jc w:val="both"/>
      </w:pPr>
      <w:r>
        <w:rPr>
          <w:i/>
          <w:sz w:val="20"/>
          <w:szCs w:val="20"/>
          <w:color w:val="2E4057"/>
        </w:rPr>
        <w:t xml:space="preserve">Buolamwini, J., y Gebru, T. (2018). Gender Shades: Intersectional Accuracy Disparities in Commercial Gender Classification. Proceedings of Machine Learning Research, 81, 1–15.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1000"/>
        <w:gridCol w:w="1200"/>
        <w:gridCol w:w="1200"/>
        <w:gridCol w:w="1200"/>
        <w:gridCol w:w="1426"/>
      </w:tblGrid>
      <w:tr>
        <w:tc>
          <w:tcPr>
            <w:tcW w:type="dxa" w:w="2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Audiencia</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Segs.</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Det. facial</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AU4 ceño</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AU12 sonrisa</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AU15 tristeza</w:t>
            </w:r>
          </w:p>
        </w:tc>
        <w:tc>
          <w:tcPr>
            <w:tcW w:type="dxa" w:w="14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ICM facial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Casanare — Torres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903</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86%</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0.076</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0.091</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0.002</w:t>
            </w:r>
          </w:p>
        </w:tc>
        <w:tc>
          <w:tcPr>
            <w:tcW w:type="dxa" w:w="1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0.190 ← más performativo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Catatumbo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1.168</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0.184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0.131</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0.011</w:t>
            </w:r>
          </w:p>
        </w:tc>
        <w:tc>
          <w:tcPr>
            <w:tcW w:type="dxa" w:w="1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0.272</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Dabeiba</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424</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25%</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0.275</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0.140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0.008</w:t>
            </w:r>
          </w:p>
        </w:tc>
        <w:tc>
          <w:tcPr>
            <w:tcW w:type="dxa" w:w="1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0.292</w:t>
            </w:r>
          </w:p>
        </w:tc>
      </w:tr>
      <w:tr>
        <w:tc>
          <w:tcPr>
            <w:tcW w:type="dxa" w:w="2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Huila</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1.864</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0.350</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0.086</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0.002</w:t>
            </w:r>
          </w:p>
        </w:tc>
        <w:tc>
          <w:tcPr>
            <w:tcW w:type="dxa" w:w="14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0.300 ← mayor congruencia multimodal</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4.3. Features faciales Capa 3 — OpenFace 3.0 (Baltrusaitis et al., 2025) para Catatumbo, Casanare, Dabeiba y Huila; MediaPipe FaceLandmarker (Lugaresi et al., 2023) para Costa Caribe. ICM facial = distress/(distress+sonrisa). Mayor ICM score = mayor congruencia multimodal entre canales.</w:t>
      </w:r>
    </w:p>
    <w:p>
      <w:pPr>
        <w:spacing w:after="200" w:line="360" w:lineRule="auto"/>
        <w:ind w:firstLine="720"/>
        <w:jc w:val="both"/>
      </w:pPr>
      <w:r>
        <w:rPr>
          <w:rFonts w:ascii="Times New Roman" w:cs="Times New Roman" w:eastAsia="Times New Roman" w:hAnsi="Times New Roman"/>
          <w:b/>
          <w:bCs/>
          <w:color w:val="000000"/>
          <w:sz w:val="24"/>
          <w:szCs w:val="24"/>
        </w:rPr>
        <w:t xml:space="preserve">4.5.4.2 Features prosódicas — OpenSMILE eGeMAPS (completado 5/5 subcasos). </w:t>
      </w:r>
      <w:r>
        <w:rPr>
          <w:rFonts w:ascii="Times New Roman" w:cs="Times New Roman" w:eastAsia="Times New Roman" w:hAnsi="Times New Roman"/>
          <w:color w:val="000000"/>
          <w:sz w:val="24"/>
          <w:szCs w:val="24"/>
        </w:rPr>
        <w:t>El extractor eGeMAPS (Eyben et al., 2016) producirá 88 features acústicas por segmento: F0, jitter, shimmer, alpha ratio, speech rate, duración de pausas. Los marcadores más relevantes para el ICM vocal son shimmer (quiebre de voz) y pausas largas (carga cognitiva). Completado de integración en el pipeline de Capa 3.</w:t>
      </w:r>
    </w:p>
    <w:p>
      <w:pPr>
        <w:spacing w:after="200" w:line="360" w:lineRule="auto"/>
        <w:ind w:firstLine="720"/>
        <w:jc w:val="both"/>
      </w:pPr>
      <w:r>
        <w:rPr>
          <w:rFonts w:ascii="Times New Roman" w:cs="Times New Roman" w:eastAsia="Times New Roman" w:hAnsi="Times New Roman"/>
          <w:b/>
          <w:bCs/>
          <w:color w:val="000000"/>
          <w:sz w:val="24"/>
          <w:szCs w:val="24"/>
        </w:rPr>
        <w:t xml:space="preserve">4.5.4.3 Índice de Congruencia Multimodal (ICM). </w:t>
      </w:r>
      <w:r>
        <w:rPr>
          <w:rFonts w:ascii="Times New Roman" w:cs="Times New Roman" w:eastAsia="Times New Roman" w:hAnsi="Times New Roman"/>
          <w:color w:val="000000"/>
          <w:sz w:val="24"/>
          <w:szCs w:val="24"/>
        </w:rPr>
        <w:t>El ICM combina los tres canales — verbal (ConfliBERT REP score), vocal (eGeMAPS pendiente), facial (MediaPipe AUs) — en un índice de congruencia entre canales comunicativos. La versión implementada calcula ICM facial = distress_medio / (distress_medio + sonrisa_media), donde distress_medio = (AU1 + AU4 + AU15) / 3. Valores más altos indican mayor congruencia entre el reconocimiento verbal y la expresión facial de distress — alta congruencia multimodal. Valores más bajos indican dominancia de la sonrisa — baja congruencia multimodal.</w:t>
      </w:r>
    </w:p>
    <w:p>
      <w:pPr>
        <w:spacing w:after="200" w:line="360" w:lineRule="auto"/>
        <w:ind w:firstLine="720"/>
        <w:jc w:val="both"/>
      </w:pPr>
      <w:r>
        <w:rPr>
          <w:sz w:val="24"/>
          <w:szCs w:val="24"/>
        </w:rPr>
        <w:t xml:space="preserve">Es imprescindible declarar los límites epistemológicos del ICM. Conforme a Barrett et al. (2019), las configuraciones faciales no decodifican estados emocionales internos de manera universal ni directa. Crivelli y Fridlund (2018) argumentan que las expresiones son actos comunicativos contextuales. Reisenzein et al. (2013) confirman que la coherencia emoción-expresión es baja incluso en emoción genuina. Por estas razones, el ICM no mide sinceridad, autenticidad psicológica individual ni culpa: es una medida de congruencia entre señales comunicativas multimodales a nivel de corpus. Adicionalmente, conforme a Sen et al. (2024), los modelos entrenados en contextos low-stakes no transfieren a high-stakes; por ello la CFH calibra el ICM desde el propio corpus del Macrocaso 003.</w:t>
      </w:r>
    </w:p>
    <w:p>
      <w:pPr>
        <w:spacing w:after="200" w:line="360" w:lineRule="auto"/>
        <w:ind w:firstLine="720"/>
        <w:jc w:val="both"/>
      </w:pPr>
      <w:r>
        <w:rPr>
          <w:i/>
          <w:sz w:val="20"/>
          <w:szCs w:val="20"/>
          <w:color w:val="2E4057"/>
        </w:rPr>
        <w:t xml:space="preserve">Barrett, L. F., Adolphs, R., Marsella, S., Martinez, A. M., y Pollak, S. D. (2019). Emotional Expressions Reconsidered: Challenges to Inferring Emotion From Human Facial Movements. Psychological Science in the Public Interest, 20(1), 1–68.</w:t>
      </w:r>
    </w:p>
    <w:p>
      <w:pPr>
        <w:spacing w:after="200" w:line="360" w:lineRule="auto"/>
        <w:ind w:firstLine="720"/>
        <w:jc w:val="both"/>
      </w:pPr>
      <w:r>
        <w:rPr>
          <w:i/>
          <w:sz w:val="20"/>
          <w:szCs w:val="20"/>
          <w:color w:val="2E4057"/>
        </w:rPr>
        <w:t xml:space="preserve">Crivelli, C., y Fridlund, A. J. (2018). Facial Displays Are Tools for Social Influence. Trends in Cognitive Sciences, 22(5), 388–399.</w:t>
      </w:r>
    </w:p>
    <w:p>
      <w:pPr>
        <w:spacing w:after="200" w:line="360" w:lineRule="auto"/>
        <w:ind w:firstLine="720"/>
        <w:jc w:val="both"/>
      </w:pPr>
      <w:r>
        <w:rPr>
          <w:i/>
          <w:sz w:val="20"/>
          <w:szCs w:val="20"/>
          <w:color w:val="2E4057"/>
        </w:rPr>
        <w:t xml:space="preserve">Sen, S., Singh, G., y Varshney, P. (2024). Deception detection using machine learning: A systematic review and transfer learning limitations from low-stakes to high-stakes. Expert Systems with Applications, 213, 119048.</w:t>
      </w:r>
    </w:p>
    <w:p>
      <w:pPr>
        <w:pStyle w:val="Heading 3"/>
        <w:jc w:val="both"/>
      </w:pPr>
      <w:r>
        <w:rPr>
          <w:color w:val="1F4E79"/>
          <w:sz w:val="22"/>
        </w:rPr>
        <w:t xml:space="preserve">4.5.5 Taxonomía de modelos computacionales del framework CFH</w:t>
      </w:r>
    </w:p>
    <w:p>
      <w:pPr>
        <w:pStyle w:val="Normal"/>
        <w:jc w:val="both"/>
      </w:pPr>
      <w:r>
        <w:rPr>
          <w:sz w:val="20"/>
        </w:rPr>
        <w:t xml:space="preserve">La Tabla 4.X presenta la taxonomía completa de los modelos computacionales del framework CFH. Se emplean cuatro familias: (a) reglas gramaticales para patrones sintácticamente definibles; (b) modelos de espacio vectorial para distancias léxicas; (c) transformers encoder bidireccionales para codificación contextual; y (d) modelos de señal (DSP+visión) para el canal multimodal. La columna de normalización refleja la decisión metodológica de usar z-score+sigmoid sobre distribución conjunta A+B+C, que elimina los valores 0.000 y 1.000 absolutos que producía la normalización min-max dentro del Corpus C.</w:t>
      </w:r>
    </w:p>
    <w:p>
      <w:pPr>
        <w:pStyle w:val="Normal"/>
        <w:jc w:val="both"/>
      </w:pPr>
      <w:r>
        <w:rPr>
          <w:b/>
          <w:sz w:val="20"/>
        </w:rPr>
        <w:t xml:space="preserve">Tabla 4.X. Taxonomía de modelos computacionales por indicador CFH.</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r>
        <w:tc>
          <w:tcPr>
            <w:shd w:val="clear" w:color="auto" w:fill="1F4E79"/>
          </w:tcPr>
          <w:p>
            <w:pPr>
              <w:spacing w:before="40" w:after="40"/>
            </w:pPr>
            <w:r>
              <w:rPr>
                <w:b/>
                <w:color w:val="FFFFFF"/>
                <w:sz w:val="15"/>
              </w:rPr>
              <w:t xml:space="preserve">Ind.</w:t>
            </w:r>
          </w:p>
        </w:tc>
        <w:tc>
          <w:tcPr>
            <w:shd w:val="clear" w:color="auto" w:fill="1F4E79"/>
          </w:tcPr>
          <w:p>
            <w:pPr>
              <w:spacing w:before="40" w:after="40"/>
            </w:pPr>
            <w:r>
              <w:rPr>
                <w:b/>
                <w:color w:val="FFFFFF"/>
                <w:sz w:val="15"/>
              </w:rPr>
              <w:t xml:space="preserve">Nombre</w:t>
            </w:r>
          </w:p>
        </w:tc>
        <w:tc>
          <w:tcPr>
            <w:shd w:val="clear" w:color="auto" w:fill="1F4E79"/>
          </w:tcPr>
          <w:p>
            <w:pPr>
              <w:spacing w:before="40" w:after="40"/>
            </w:pPr>
            <w:r>
              <w:rPr>
                <w:b/>
                <w:color w:val="FFFFFF"/>
                <w:sz w:val="15"/>
              </w:rPr>
              <w:t xml:space="preserve">Familia modelo</w:t>
            </w:r>
          </w:p>
        </w:tc>
        <w:tc>
          <w:tcPr>
            <w:shd w:val="clear" w:color="auto" w:fill="1F4E79"/>
          </w:tcPr>
          <w:p>
            <w:pPr>
              <w:spacing w:before="40" w:after="40"/>
            </w:pPr>
            <w:r>
              <w:rPr>
                <w:b/>
                <w:color w:val="FFFFFF"/>
                <w:sz w:val="15"/>
              </w:rPr>
              <w:t xml:space="preserve">Tarea</w:t>
            </w:r>
          </w:p>
        </w:tc>
        <w:tc>
          <w:tcPr>
            <w:shd w:val="clear" w:color="auto" w:fill="1F4E79"/>
          </w:tcPr>
          <w:p>
            <w:pPr>
              <w:spacing w:before="40" w:after="40"/>
            </w:pPr>
            <w:r>
              <w:rPr>
                <w:b/>
                <w:color w:val="FFFFFF"/>
                <w:sz w:val="15"/>
              </w:rPr>
              <w:t xml:space="preserve">Nivel</w:t>
            </w:r>
          </w:p>
        </w:tc>
        <w:tc>
          <w:tcPr>
            <w:shd w:val="clear" w:color="auto" w:fill="1F4E79"/>
          </w:tcPr>
          <w:p>
            <w:pPr>
              <w:spacing w:before="40" w:after="40"/>
            </w:pPr>
            <w:r>
              <w:rPr>
                <w:b/>
                <w:color w:val="FFFFFF"/>
                <w:sz w:val="15"/>
              </w:rPr>
              <w:t xml:space="preserve">Normalización</w:t>
            </w:r>
          </w:p>
        </w:tc>
        <w:tc>
          <w:tcPr>
            <w:shd w:val="clear" w:color="auto" w:fill="1F4E79"/>
          </w:tcPr>
          <w:p>
            <w:pPr>
              <w:spacing w:before="40" w:after="40"/>
            </w:pPr>
            <w:r>
              <w:rPr>
                <w:b/>
                <w:color w:val="FFFFFF"/>
                <w:sz w:val="15"/>
              </w:rPr>
              <w:t xml:space="preserve">Justificación</w:t>
            </w:r>
          </w:p>
        </w:tc>
      </w:tr>
      <w:tr>
        <w:tc>
          <w:tcPr>
            <w:shd w:val="clear" w:color="auto" w:fill="FFFFFF"/>
          </w:tcPr>
          <w:p>
            <w:pPr>
              <w:spacing w:before="40" w:after="40"/>
            </w:pPr>
            <w:r>
              <w:rPr>
                <w:sz w:val="15"/>
              </w:rPr>
              <w:t xml:space="preserve">y₁ EBI</w:t>
            </w:r>
          </w:p>
        </w:tc>
        <w:tc>
          <w:tcPr>
            <w:shd w:val="clear" w:color="auto" w:fill="FFFFFF"/>
          </w:tcPr>
          <w:p>
            <w:pPr>
              <w:spacing w:before="40" w:after="40"/>
            </w:pPr>
            <w:r>
              <w:rPr>
                <w:sz w:val="15"/>
              </w:rPr>
              <w:t xml:space="preserve">Euf. Bélico-Inst.</w:t>
            </w:r>
          </w:p>
        </w:tc>
        <w:tc>
          <w:tcPr>
            <w:shd w:val="clear" w:color="auto" w:fill="FFFFFF"/>
          </w:tcPr>
          <w:p>
            <w:pPr>
              <w:spacing w:before="40" w:after="40"/>
            </w:pPr>
            <w:r>
              <w:rPr>
                <w:sz w:val="15"/>
              </w:rPr>
              <w:t xml:space="preserve">Clasif. IO CFH-BERT v2</w:t>
            </w:r>
          </w:p>
        </w:tc>
        <w:tc>
          <w:tcPr>
            <w:shd w:val="clear" w:color="auto" w:fill="FFFFFF"/>
          </w:tcPr>
          <w:p>
            <w:pPr>
              <w:spacing w:before="40" w:after="40"/>
            </w:pPr>
            <w:r>
              <w:rPr>
                <w:sz w:val="15"/>
              </w:rPr>
              <w:t xml:space="preserve">Sequence labeling IO</w:t>
            </w:r>
          </w:p>
        </w:tc>
        <w:tc>
          <w:tcPr>
            <w:shd w:val="clear" w:color="auto" w:fill="FFFFFF"/>
          </w:tcPr>
          <w:p>
            <w:pPr>
              <w:spacing w:before="40" w:after="40"/>
            </w:pPr>
            <w:r>
              <w:rPr>
                <w:sz w:val="15"/>
              </w:rPr>
              <w:t xml:space="preserve">A+B+C</w:t>
            </w:r>
          </w:p>
        </w:tc>
        <w:tc>
          <w:tcPr>
            <w:shd w:val="clear" w:color="auto" w:fill="FFFFFF"/>
          </w:tcPr>
          <w:p>
            <w:pPr>
              <w:spacing w:before="40" w:after="40"/>
            </w:pPr>
            <w:r>
              <w:rPr>
                <w:sz w:val="15"/>
              </w:rPr>
              <w:t xml:space="preserve">z-score A+B+C→sig</w:t>
            </w:r>
          </w:p>
        </w:tc>
        <w:tc>
          <w:tcPr>
            <w:shd w:val="clear" w:color="auto" w:fill="FFFFFF"/>
          </w:tcPr>
          <w:p>
            <w:pPr>
              <w:spacing w:before="40" w:after="40"/>
            </w:pPr>
            <w:r>
              <w:rPr>
                <w:sz w:val="15"/>
              </w:rPr>
              <w:t xml:space="preserve">Spans, no tokens. Pendiente v3.</w:t>
            </w:r>
          </w:p>
        </w:tc>
      </w:tr>
      <w:tr>
        <w:tc>
          <w:tcPr>
            <w:shd w:val="clear" w:color="auto" w:fill="FFFFFF"/>
          </w:tcPr>
          <w:p>
            <w:pPr>
              <w:spacing w:before="40" w:after="40"/>
            </w:pPr>
            <w:r>
              <w:rPr>
                <w:sz w:val="15"/>
              </w:rPr>
              <w:t xml:space="preserve">y₂ SA</w:t>
            </w:r>
          </w:p>
        </w:tc>
        <w:tc>
          <w:tcPr>
            <w:shd w:val="clear" w:color="auto" w:fill="FFFFFF"/>
          </w:tcPr>
          <w:p>
            <w:pPr>
              <w:spacing w:before="40" w:after="40"/>
            </w:pPr>
            <w:r>
              <w:rPr>
                <w:sz w:val="15"/>
              </w:rPr>
              <w:t xml:space="preserve">Supresión Agentiv.</w:t>
            </w:r>
          </w:p>
        </w:tc>
        <w:tc>
          <w:tcPr>
            <w:shd w:val="clear" w:color="auto" w:fill="FFFFFF"/>
          </w:tcPr>
          <w:p>
            <w:pPr>
              <w:spacing w:before="40" w:after="40"/>
            </w:pPr>
            <w:r>
              <w:rPr>
                <w:sz w:val="15"/>
              </w:rPr>
              <w:t xml:space="preserve">Reglas (spaCy deps)</w:t>
            </w:r>
          </w:p>
        </w:tc>
        <w:tc>
          <w:tcPr>
            <w:shd w:val="clear" w:color="auto" w:fill="FFFFFF"/>
          </w:tcPr>
          <w:p>
            <w:pPr>
              <w:spacing w:before="40" w:after="40"/>
            </w:pPr>
            <w:r>
              <w:rPr>
                <w:sz w:val="15"/>
              </w:rPr>
              <w:t xml:space="preserve">Parsing depend.+regex</w:t>
            </w:r>
          </w:p>
        </w:tc>
        <w:tc>
          <w:tcPr>
            <w:shd w:val="clear" w:color="auto" w:fill="FFFFFF"/>
          </w:tcPr>
          <w:p>
            <w:pPr>
              <w:spacing w:before="40" w:after="40"/>
            </w:pPr>
            <w:r>
              <w:rPr>
                <w:sz w:val="15"/>
              </w:rPr>
              <w:t xml:space="preserve">A+B+C</w:t>
            </w:r>
          </w:p>
        </w:tc>
        <w:tc>
          <w:tcPr>
            <w:shd w:val="clear" w:color="auto" w:fill="FFFFFF"/>
          </w:tcPr>
          <w:p>
            <w:pPr>
              <w:spacing w:before="40" w:after="40"/>
            </w:pPr>
            <w:r>
              <w:rPr>
                <w:sz w:val="15"/>
              </w:rPr>
              <w:t xml:space="preserve">z-score A+B+C→sig</w:t>
            </w:r>
          </w:p>
        </w:tc>
        <w:tc>
          <w:tcPr>
            <w:shd w:val="clear" w:color="auto" w:fill="FFFFFF"/>
          </w:tcPr>
          <w:p>
            <w:pPr>
              <w:spacing w:before="40" w:after="40"/>
            </w:pPr>
            <w:r>
              <w:rPr>
                <w:sz w:val="15"/>
              </w:rPr>
              <w:t xml:space="preserve">Patrón gramát. definible. Auditable.</w:t>
            </w:r>
          </w:p>
        </w:tc>
      </w:tr>
      <w:tr>
        <w:tc>
          <w:tcPr>
            <w:shd w:val="clear" w:color="auto" w:fill="FFFFFF"/>
          </w:tcPr>
          <w:p>
            <w:pPr>
              <w:spacing w:before="40" w:after="40"/>
            </w:pPr>
            <w:r>
              <w:rPr>
                <w:sz w:val="15"/>
              </w:rPr>
              <w:t xml:space="preserve">y₃ Civil</w:t>
            </w:r>
          </w:p>
        </w:tc>
        <w:tc>
          <w:tcPr>
            <w:shd w:val="clear" w:color="auto" w:fill="FFFFFF"/>
          </w:tcPr>
          <w:p>
            <w:pPr>
              <w:spacing w:before="40" w:after="40"/>
            </w:pPr>
            <w:r>
              <w:rPr>
                <w:sz w:val="15"/>
              </w:rPr>
              <w:t xml:space="preserve">Dist. léxico civil</w:t>
            </w:r>
          </w:p>
        </w:tc>
        <w:tc>
          <w:tcPr>
            <w:shd w:val="clear" w:color="auto" w:fill="FFFFFF"/>
          </w:tcPr>
          <w:p>
            <w:pPr>
              <w:spacing w:before="40" w:after="40"/>
            </w:pPr>
            <w:r>
              <w:rPr>
                <w:sz w:val="15"/>
              </w:rPr>
              <w:t xml:space="preserve">VSM TF-IDF+coseno</w:t>
            </w:r>
          </w:p>
        </w:tc>
        <w:tc>
          <w:tcPr>
            <w:shd w:val="clear" w:color="auto" w:fill="FFFFFF"/>
          </w:tcPr>
          <w:p>
            <w:pPr>
              <w:spacing w:before="40" w:after="40"/>
            </w:pPr>
            <w:r>
              <w:rPr>
                <w:sz w:val="15"/>
              </w:rPr>
              <w:t xml:space="preserve">Similitud vectorial</w:t>
            </w:r>
          </w:p>
        </w:tc>
        <w:tc>
          <w:tcPr>
            <w:shd w:val="clear" w:color="auto" w:fill="FFFFFF"/>
          </w:tcPr>
          <w:p>
            <w:pPr>
              <w:spacing w:before="40" w:after="40"/>
            </w:pPr>
            <w:r>
              <w:rPr>
                <w:sz w:val="15"/>
              </w:rPr>
              <w:t xml:space="preserve">A+B+C</w:t>
            </w:r>
          </w:p>
        </w:tc>
        <w:tc>
          <w:tcPr>
            <w:shd w:val="clear" w:color="auto" w:fill="FFFFFF"/>
          </w:tcPr>
          <w:p>
            <w:pPr>
              <w:spacing w:before="40" w:after="40"/>
            </w:pPr>
            <w:r>
              <w:rPr>
                <w:sz w:val="15"/>
              </w:rPr>
              <w:t xml:space="preserve">z-score A+B+C→sig</w:t>
            </w:r>
          </w:p>
        </w:tc>
        <w:tc>
          <w:tcPr>
            <w:shd w:val="clear" w:color="auto" w:fill="FFFFFF"/>
          </w:tcPr>
          <w:p>
            <w:pPr>
              <w:spacing w:before="40" w:after="40"/>
            </w:pPr>
            <w:r>
              <w:rPr>
                <w:sz w:val="15"/>
              </w:rPr>
              <w:t xml:space="preserve">Sin parámetros. Lexicón 1,247 términos.</w:t>
            </w:r>
          </w:p>
        </w:tc>
      </w:tr>
      <w:tr>
        <w:tc>
          <w:tcPr>
            <w:shd w:val="clear" w:color="auto" w:fill="FFFFFF"/>
          </w:tcPr>
          <w:p>
            <w:pPr>
              <w:spacing w:before="40" w:after="40"/>
            </w:pPr>
            <w:r>
              <w:rPr>
                <w:sz w:val="15"/>
              </w:rPr>
              <w:t xml:space="preserve">y₄ NV</w:t>
            </w:r>
          </w:p>
        </w:tc>
        <w:tc>
          <w:tcPr>
            <w:shd w:val="clear" w:color="auto" w:fill="FFFFFF"/>
          </w:tcPr>
          <w:p>
            <w:pPr>
              <w:spacing w:before="40" w:after="40"/>
            </w:pPr>
            <w:r>
              <w:rPr>
                <w:sz w:val="15"/>
              </w:rPr>
              <w:t xml:space="preserve">Negación Victimiz.</w:t>
            </w:r>
          </w:p>
        </w:tc>
        <w:tc>
          <w:tcPr>
            <w:shd w:val="clear" w:color="auto" w:fill="FFFFFF"/>
          </w:tcPr>
          <w:p>
            <w:pPr>
              <w:spacing w:before="40" w:after="40"/>
            </w:pPr>
            <w:r>
              <w:rPr>
                <w:sz w:val="15"/>
              </w:rPr>
              <w:t xml:space="preserve">Clasif. IO CFH-BERT v2</w:t>
            </w:r>
          </w:p>
        </w:tc>
        <w:tc>
          <w:tcPr>
            <w:shd w:val="clear" w:color="auto" w:fill="FFFFFF"/>
          </w:tcPr>
          <w:p>
            <w:pPr>
              <w:spacing w:before="40" w:after="40"/>
            </w:pPr>
            <w:r>
              <w:rPr>
                <w:sz w:val="15"/>
              </w:rPr>
              <w:t xml:space="preserve">Sequence labeling IO</w:t>
            </w:r>
          </w:p>
        </w:tc>
        <w:tc>
          <w:tcPr>
            <w:shd w:val="clear" w:color="auto" w:fill="FFFFFF"/>
          </w:tcPr>
          <w:p>
            <w:pPr>
              <w:spacing w:before="40" w:after="40"/>
            </w:pPr>
            <w:r>
              <w:rPr>
                <w:sz w:val="15"/>
              </w:rPr>
              <w:t xml:space="preserve">A+B+C</w:t>
            </w:r>
          </w:p>
        </w:tc>
        <w:tc>
          <w:tcPr>
            <w:shd w:val="clear" w:color="auto" w:fill="FFFFFF"/>
          </w:tcPr>
          <w:p>
            <w:pPr>
              <w:spacing w:before="40" w:after="40"/>
            </w:pPr>
            <w:r>
              <w:rPr>
                <w:sz w:val="15"/>
              </w:rPr>
              <w:t xml:space="preserve">z-score A+B+C→sig</w:t>
            </w:r>
          </w:p>
        </w:tc>
        <w:tc>
          <w:tcPr>
            <w:shd w:val="clear" w:color="auto" w:fill="FFFFFF"/>
          </w:tcPr>
          <w:p>
            <w:pPr>
              <w:spacing w:before="40" w:after="40"/>
            </w:pPr>
            <w:r>
              <w:rPr>
                <w:sz w:val="15"/>
              </w:rPr>
              <w:t xml:space="preserve">Contexto determinante. d A-B=0.024.</w:t>
            </w:r>
          </w:p>
        </w:tc>
      </w:tr>
      <w:tr>
        <w:tc>
          <w:tcPr>
            <w:shd w:val="clear" w:color="auto" w:fill="FFFFFF"/>
          </w:tcPr>
          <w:p>
            <w:pPr>
              <w:spacing w:before="40" w:after="40"/>
            </w:pPr>
            <w:r>
              <w:rPr>
                <w:sz w:val="15"/>
              </w:rPr>
              <w:t xml:space="preserve">y₇ Surprisal</w:t>
            </w:r>
          </w:p>
        </w:tc>
        <w:tc>
          <w:tcPr>
            <w:shd w:val="clear" w:color="auto" w:fill="FFFFFF"/>
          </w:tcPr>
          <w:p>
            <w:pPr>
              <w:spacing w:before="40" w:after="40"/>
            </w:pPr>
            <w:r>
              <w:rPr>
                <w:sz w:val="15"/>
              </w:rPr>
              <w:t xml:space="preserve">Infrecuencia léxica</w:t>
            </w:r>
          </w:p>
        </w:tc>
        <w:tc>
          <w:tcPr>
            <w:shd w:val="clear" w:color="auto" w:fill="FFFFFF"/>
          </w:tcPr>
          <w:p>
            <w:pPr>
              <w:spacing w:before="40" w:after="40"/>
            </w:pPr>
            <w:r>
              <w:rPr>
                <w:sz w:val="15"/>
              </w:rPr>
              <w:t xml:space="preserve">LM encoder BETO</w:t>
            </w:r>
          </w:p>
        </w:tc>
        <w:tc>
          <w:tcPr>
            <w:shd w:val="clear" w:color="auto" w:fill="FFFFFF"/>
          </w:tcPr>
          <w:p>
            <w:pPr>
              <w:spacing w:before="40" w:after="40"/>
            </w:pPr>
            <w:r>
              <w:rPr>
                <w:sz w:val="15"/>
              </w:rPr>
              <w:t xml:space="preserve">Log-prob P(t|ctx)</w:t>
            </w:r>
          </w:p>
        </w:tc>
        <w:tc>
          <w:tcPr>
            <w:shd w:val="clear" w:color="auto" w:fill="FFFFFF"/>
          </w:tcPr>
          <w:p>
            <w:pPr>
              <w:spacing w:before="40" w:after="40"/>
            </w:pPr>
            <w:r>
              <w:rPr>
                <w:sz w:val="15"/>
              </w:rPr>
              <w:t xml:space="preserve">A+B+C</w:t>
            </w:r>
          </w:p>
        </w:tc>
        <w:tc>
          <w:tcPr>
            <w:shd w:val="clear" w:color="auto" w:fill="FFFFFF"/>
          </w:tcPr>
          <w:p>
            <w:pPr>
              <w:spacing w:before="40" w:after="40"/>
            </w:pPr>
            <w:r>
              <w:rPr>
                <w:sz w:val="15"/>
              </w:rPr>
              <w:t xml:space="preserve">z-score A+B+C→sig</w:t>
            </w:r>
          </w:p>
        </w:tc>
        <w:tc>
          <w:tcPr>
            <w:shd w:val="clear" w:color="auto" w:fill="FFFFFF"/>
          </w:tcPr>
          <w:p>
            <w:pPr>
              <w:spacing w:before="40" w:after="40"/>
            </w:pPr>
            <w:r>
              <w:rPr>
                <w:sz w:val="15"/>
              </w:rPr>
              <w:t xml:space="preserve">Bidireccional obligatorio. Pendiente v3.</w:t>
            </w:r>
          </w:p>
        </w:tc>
      </w:tr>
      <w:tr>
        <w:tc>
          <w:tcPr>
            <w:shd w:val="clear" w:color="auto" w:fill="FFFFFF"/>
          </w:tcPr>
          <w:p>
            <w:pPr>
              <w:spacing w:before="40" w:after="40"/>
            </w:pPr>
            <w:r>
              <w:rPr>
                <w:sz w:val="15"/>
              </w:rPr>
              <w:t xml:space="preserve">y₈ MAFAPO</w:t>
            </w:r>
          </w:p>
        </w:tc>
        <w:tc>
          <w:tcPr>
            <w:shd w:val="clear" w:color="auto" w:fill="FFFFFF"/>
          </w:tcPr>
          <w:p>
            <w:pPr>
              <w:spacing w:before="40" w:after="40"/>
            </w:pPr>
            <w:r>
              <w:rPr>
                <w:sz w:val="15"/>
              </w:rPr>
              <w:t xml:space="preserve">Dist. sem. víctimas</w:t>
            </w:r>
          </w:p>
        </w:tc>
        <w:tc>
          <w:tcPr>
            <w:shd w:val="clear" w:color="auto" w:fill="FFFFFF"/>
          </w:tcPr>
          <w:p>
            <w:pPr>
              <w:spacing w:before="40" w:after="40"/>
            </w:pPr>
            <w:r>
              <w:rPr>
                <w:sz w:val="15"/>
              </w:rPr>
              <w:t xml:space="preserve">Transformer ConfliBERT</w:t>
            </w:r>
          </w:p>
        </w:tc>
        <w:tc>
          <w:tcPr>
            <w:shd w:val="clear" w:color="auto" w:fill="FFFFFF"/>
          </w:tcPr>
          <w:p>
            <w:pPr>
              <w:spacing w:before="40" w:after="40"/>
            </w:pPr>
            <w:r>
              <w:rPr>
                <w:sz w:val="15"/>
              </w:rPr>
              <w:t xml:space="preserve">Embeddings+coseno</w:t>
            </w:r>
          </w:p>
        </w:tc>
        <w:tc>
          <w:tcPr>
            <w:shd w:val="clear" w:color="auto" w:fill="FFFFFF"/>
          </w:tcPr>
          <w:p>
            <w:pPr>
              <w:spacing w:before="40" w:after="40"/>
            </w:pPr>
            <w:r>
              <w:rPr>
                <w:sz w:val="15"/>
              </w:rPr>
              <w:t xml:space="preserve">A+B+C</w:t>
            </w:r>
          </w:p>
        </w:tc>
        <w:tc>
          <w:tcPr>
            <w:shd w:val="clear" w:color="auto" w:fill="FFFFFF"/>
          </w:tcPr>
          <w:p>
            <w:pPr>
              <w:spacing w:before="40" w:after="40"/>
            </w:pPr>
            <w:r>
              <w:rPr>
                <w:sz w:val="15"/>
              </w:rPr>
              <w:t xml:space="preserve">z-score A+B+C→sig</w:t>
            </w:r>
          </w:p>
        </w:tc>
        <w:tc>
          <w:tcPr>
            <w:shd w:val="clear" w:color="auto" w:fill="FFFFFF"/>
          </w:tcPr>
          <w:p>
            <w:pPr>
              <w:spacing w:before="40" w:after="40"/>
            </w:pPr>
            <w:r>
              <w:rPr>
                <w:sz w:val="15"/>
              </w:rPr>
              <w:t xml:space="preserve">d A-B=0.570***. Centroide 25 textos MAFAPO.</w:t>
            </w:r>
          </w:p>
        </w:tc>
      </w:tr>
      <w:tr>
        <w:tc>
          <w:tcPr>
            <w:shd w:val="clear" w:color="auto" w:fill="FFFFFF"/>
          </w:tcPr>
          <w:p>
            <w:pPr>
              <w:spacing w:before="40" w:after="40"/>
            </w:pPr>
            <w:r>
              <w:rPr>
                <w:sz w:val="15"/>
              </w:rPr>
              <w:t xml:space="preserve">y₉ CIDH</w:t>
            </w:r>
          </w:p>
        </w:tc>
        <w:tc>
          <w:tcPr>
            <w:shd w:val="clear" w:color="auto" w:fill="FFFFFF"/>
          </w:tcPr>
          <w:p>
            <w:pPr>
              <w:spacing w:before="40" w:after="40"/>
            </w:pPr>
            <w:r>
              <w:rPr>
                <w:sz w:val="15"/>
              </w:rPr>
              <w:t xml:space="preserve">Dist. estánd. DDHH</w:t>
            </w:r>
          </w:p>
        </w:tc>
        <w:tc>
          <w:tcPr>
            <w:shd w:val="clear" w:color="auto" w:fill="FFFFFF"/>
          </w:tcPr>
          <w:p>
            <w:pPr>
              <w:spacing w:before="40" w:after="40"/>
            </w:pPr>
            <w:r>
              <w:rPr>
                <w:sz w:val="15"/>
              </w:rPr>
              <w:t xml:space="preserve">Transformer ConfliBERT</w:t>
            </w:r>
          </w:p>
        </w:tc>
        <w:tc>
          <w:tcPr>
            <w:shd w:val="clear" w:color="auto" w:fill="FFFFFF"/>
          </w:tcPr>
          <w:p>
            <w:pPr>
              <w:spacing w:before="40" w:after="40"/>
            </w:pPr>
            <w:r>
              <w:rPr>
                <w:sz w:val="15"/>
              </w:rPr>
              <w:t xml:space="preserve">Embeddings+coseno</w:t>
            </w:r>
          </w:p>
        </w:tc>
        <w:tc>
          <w:tcPr>
            <w:shd w:val="clear" w:color="auto" w:fill="FFFFFF"/>
          </w:tcPr>
          <w:p>
            <w:pPr>
              <w:spacing w:before="40" w:after="40"/>
            </w:pPr>
            <w:r>
              <w:rPr>
                <w:sz w:val="15"/>
              </w:rPr>
              <w:t xml:space="preserve">A+B+C</w:t>
            </w:r>
          </w:p>
        </w:tc>
        <w:tc>
          <w:tcPr>
            <w:shd w:val="clear" w:color="auto" w:fill="FFFFFF"/>
          </w:tcPr>
          <w:p>
            <w:pPr>
              <w:spacing w:before="40" w:after="40"/>
            </w:pPr>
            <w:r>
              <w:rPr>
                <w:sz w:val="15"/>
              </w:rPr>
              <w:t xml:space="preserve">z-score A+B+C→sig</w:t>
            </w:r>
          </w:p>
        </w:tc>
        <w:tc>
          <w:tcPr>
            <w:shd w:val="clear" w:color="auto" w:fill="FFFFFF"/>
          </w:tcPr>
          <w:p>
            <w:pPr>
              <w:spacing w:before="40" w:after="40"/>
            </w:pPr>
            <w:r>
              <w:rPr>
                <w:sz w:val="15"/>
              </w:rPr>
              <w:t xml:space="preserve">d A-B=0.543***. Centroide Corte IDH.</w:t>
            </w:r>
          </w:p>
        </w:tc>
      </w:tr>
      <w:tr>
        <w:tc>
          <w:tcPr>
            <w:shd w:val="clear" w:color="auto" w:fill="FFFFFF"/>
          </w:tcPr>
          <w:p>
            <w:pPr>
              <w:spacing w:before="40" w:after="40"/>
            </w:pPr>
            <w:r>
              <w:rPr>
                <w:sz w:val="15"/>
              </w:rPr>
              <w:t xml:space="preserve">y₁₀ REP</w:t>
            </w:r>
          </w:p>
        </w:tc>
        <w:tc>
          <w:tcPr>
            <w:shd w:val="clear" w:color="auto" w:fill="FFFFFF"/>
          </w:tcPr>
          <w:p>
            <w:pPr>
              <w:spacing w:before="40" w:after="40"/>
            </w:pPr>
            <w:r>
              <w:rPr>
                <w:sz w:val="15"/>
              </w:rPr>
              <w:t xml:space="preserve">Ruptura Epistémica+</w:t>
            </w:r>
          </w:p>
        </w:tc>
        <w:tc>
          <w:tcPr>
            <w:shd w:val="clear" w:color="auto" w:fill="FFFFFF"/>
          </w:tcPr>
          <w:p>
            <w:pPr>
              <w:spacing w:before="40" w:after="40"/>
            </w:pPr>
            <w:r>
              <w:rPr>
                <w:sz w:val="15"/>
              </w:rPr>
              <w:t xml:space="preserve">Clasif. IO CFH-BERT v2</w:t>
            </w:r>
          </w:p>
        </w:tc>
        <w:tc>
          <w:tcPr>
            <w:shd w:val="clear" w:color="auto" w:fill="FFFFFF"/>
          </w:tcPr>
          <w:p>
            <w:pPr>
              <w:spacing w:before="40" w:after="40"/>
            </w:pPr>
            <w:r>
              <w:rPr>
                <w:sz w:val="15"/>
              </w:rPr>
              <w:t xml:space="preserve">Sequence labeling IO</w:t>
            </w:r>
          </w:p>
        </w:tc>
        <w:tc>
          <w:tcPr>
            <w:shd w:val="clear" w:color="auto" w:fill="FFFFFF"/>
          </w:tcPr>
          <w:p>
            <w:pPr>
              <w:spacing w:before="40" w:after="40"/>
            </w:pPr>
            <w:r>
              <w:rPr>
                <w:sz w:val="15"/>
              </w:rPr>
              <w:t xml:space="preserve">A+B+C</w:t>
            </w:r>
          </w:p>
        </w:tc>
        <w:tc>
          <w:tcPr>
            <w:shd w:val="clear" w:color="auto" w:fill="FFFFFF"/>
          </w:tcPr>
          <w:p>
            <w:pPr>
              <w:spacing w:before="40" w:after="40"/>
            </w:pPr>
            <w:r>
              <w:rPr>
                <w:sz w:val="15"/>
              </w:rPr>
              <w:t xml:space="preserve">z-score A+B+C→sig</w:t>
            </w:r>
          </w:p>
        </w:tc>
        <w:tc>
          <w:tcPr>
            <w:shd w:val="clear" w:color="auto" w:fill="FFFFFF"/>
          </w:tcPr>
          <w:p>
            <w:pPr>
              <w:spacing w:before="40" w:after="40"/>
            </w:pPr>
            <w:r>
              <w:rPr>
                <w:sz w:val="15"/>
              </w:rPr>
              <w:t xml:space="preserve">d A-B=0.371***. Domina DIS_v2 (w=0.705).</w:t>
            </w:r>
          </w:p>
        </w:tc>
      </w:tr>
      <w:tr>
        <w:tc>
          <w:tcPr>
            <w:shd w:val="clear" w:color="auto" w:fill="EBF3FB"/>
          </w:tcPr>
          <w:p>
            <w:pPr>
              <w:spacing w:before="40" w:after="40"/>
            </w:pPr>
            <w:r>
              <w:rPr>
                <w:sz w:val="15"/>
              </w:rPr>
              <w:t xml:space="preserve">DIS_v1</w:t>
            </w:r>
          </w:p>
        </w:tc>
        <w:tc>
          <w:tcPr>
            <w:shd w:val="clear" w:color="auto" w:fill="EBF3FB"/>
          </w:tcPr>
          <w:p>
            <w:pPr>
              <w:spacing w:before="40" w:after="40"/>
            </w:pPr>
            <w:r>
              <w:rPr>
                <w:sz w:val="15"/>
              </w:rPr>
              <w:t xml:space="preserve">Inj. Disc. (Corpus C)</w:t>
            </w:r>
          </w:p>
        </w:tc>
        <w:tc>
          <w:tcPr>
            <w:shd w:val="clear" w:color="auto" w:fill="EBF3FB"/>
          </w:tcPr>
          <w:p>
            <w:pPr>
              <w:spacing w:before="40" w:after="40"/>
            </w:pPr>
            <w:r>
              <w:rPr>
                <w:sz w:val="15"/>
              </w:rPr>
              <w:t xml:space="preserve">Índice compuesto</w:t>
            </w:r>
          </w:p>
        </w:tc>
        <w:tc>
          <w:tcPr>
            <w:shd w:val="clear" w:color="auto" w:fill="EBF3FB"/>
          </w:tcPr>
          <w:p>
            <w:pPr>
              <w:spacing w:before="40" w:after="40"/>
            </w:pPr>
            <w:r>
              <w:rPr>
                <w:sz w:val="15"/>
              </w:rPr>
              <w:t xml:space="preserve">Agregación ponderada</w:t>
            </w:r>
          </w:p>
        </w:tc>
        <w:tc>
          <w:tcPr>
            <w:shd w:val="clear" w:color="auto" w:fill="EBF3FB"/>
          </w:tcPr>
          <w:p>
            <w:pPr>
              <w:spacing w:before="40" w:after="40"/>
            </w:pPr>
            <w:r>
              <w:rPr>
                <w:sz w:val="15"/>
              </w:rPr>
              <w:t xml:space="preserve">Corpus C</w:t>
            </w:r>
          </w:p>
        </w:tc>
        <w:tc>
          <w:tcPr>
            <w:shd w:val="clear" w:color="auto" w:fill="EBF3FB"/>
          </w:tcPr>
          <w:p>
            <w:pPr>
              <w:spacing w:before="40" w:after="40"/>
            </w:pPr>
            <w:r>
              <w:rPr>
                <w:sz w:val="15"/>
              </w:rPr>
              <w:t xml:space="preserve">min-max Corpus C</w:t>
            </w:r>
          </w:p>
        </w:tc>
        <w:tc>
          <w:tcPr>
            <w:shd w:val="clear" w:color="auto" w:fill="EBF3FB"/>
          </w:tcPr>
          <w:p>
            <w:pPr>
              <w:spacing w:before="40" w:after="40"/>
            </w:pPr>
            <w:r>
              <w:rPr>
                <w:sz w:val="15"/>
              </w:rPr>
              <w:t xml:space="preserve">Pesos teóricos Habermas+Galtung. Parsim. 89%.</w:t>
            </w:r>
          </w:p>
        </w:tc>
      </w:tr>
      <w:tr>
        <w:tc>
          <w:tcPr>
            <w:shd w:val="clear" w:color="auto" w:fill="EBF3FB"/>
          </w:tcPr>
          <w:p>
            <w:pPr>
              <w:spacing w:before="40" w:after="40"/>
            </w:pPr>
            <w:r>
              <w:rPr>
                <w:sz w:val="15"/>
              </w:rPr>
              <w:t xml:space="preserve">DIS_v2</w:t>
            </w:r>
          </w:p>
        </w:tc>
        <w:tc>
          <w:tcPr>
            <w:shd w:val="clear" w:color="auto" w:fill="EBF3FB"/>
          </w:tcPr>
          <w:p>
            <w:pPr>
              <w:spacing w:before="40" w:after="40"/>
            </w:pPr>
            <w:r>
              <w:rPr>
                <w:sz w:val="15"/>
              </w:rPr>
              <w:t xml:space="preserve">Inj. Disc. (A vs B)</w:t>
            </w:r>
          </w:p>
        </w:tc>
        <w:tc>
          <w:tcPr>
            <w:shd w:val="clear" w:color="auto" w:fill="EBF3FB"/>
          </w:tcPr>
          <w:p>
            <w:pPr>
              <w:spacing w:before="40" w:after="40"/>
            </w:pPr>
            <w:r>
              <w:rPr>
                <w:sz w:val="15"/>
              </w:rPr>
              <w:t xml:space="preserve">Índice compuesto</w:t>
            </w:r>
          </w:p>
        </w:tc>
        <w:tc>
          <w:tcPr>
            <w:shd w:val="clear" w:color="auto" w:fill="EBF3FB"/>
          </w:tcPr>
          <w:p>
            <w:pPr>
              <w:spacing w:before="40" w:after="40"/>
            </w:pPr>
            <w:r>
              <w:rPr>
                <w:sz w:val="15"/>
              </w:rPr>
              <w:t xml:space="preserve">Agregación ponderada</w:t>
            </w:r>
          </w:p>
        </w:tc>
        <w:tc>
          <w:tcPr>
            <w:shd w:val="clear" w:color="auto" w:fill="EBF3FB"/>
          </w:tcPr>
          <w:p>
            <w:pPr>
              <w:spacing w:before="40" w:after="40"/>
            </w:pPr>
            <w:r>
              <w:rPr>
                <w:sz w:val="15"/>
              </w:rPr>
              <w:t xml:space="preserve">A vs B</w:t>
            </w:r>
          </w:p>
        </w:tc>
        <w:tc>
          <w:tcPr>
            <w:shd w:val="clear" w:color="auto" w:fill="EBF3FB"/>
          </w:tcPr>
          <w:p>
            <w:pPr>
              <w:spacing w:before="40" w:after="40"/>
            </w:pPr>
            <w:r>
              <w:rPr>
                <w:sz w:val="15"/>
              </w:rPr>
              <w:t xml:space="preserve">z-score A+B→sig</w:t>
            </w:r>
          </w:p>
        </w:tc>
        <w:tc>
          <w:tcPr>
            <w:shd w:val="clear" w:color="auto" w:fill="EBF3FB"/>
          </w:tcPr>
          <w:p>
            <w:pPr>
              <w:spacing w:before="40" w:after="40"/>
            </w:pPr>
            <w:r>
              <w:rPr>
                <w:sz w:val="15"/>
              </w:rPr>
              <w:t xml:space="preserve">Pesos empíricos d Cohen. d=0.481 p=0.0003.</w:t>
            </w:r>
          </w:p>
        </w:tc>
      </w:tr>
      <w:tr>
        <w:tc>
          <w:tcPr>
            <w:shd w:val="clear" w:color="auto" w:fill="EBF3FB"/>
          </w:tcPr>
          <w:p>
            <w:pPr>
              <w:spacing w:before="40" w:after="40"/>
            </w:pPr>
            <w:r>
              <w:rPr>
                <w:sz w:val="15"/>
              </w:rPr>
              <w:t xml:space="preserve">IEI</w:t>
            </w:r>
          </w:p>
        </w:tc>
        <w:tc>
          <w:tcPr>
            <w:shd w:val="clear" w:color="auto" w:fill="EBF3FB"/>
          </w:tcPr>
          <w:p>
            <w:pPr>
              <w:spacing w:before="40" w:after="40"/>
            </w:pPr>
            <w:r>
              <w:rPr>
                <w:sz w:val="15"/>
              </w:rPr>
              <w:t xml:space="preserve">Inj. Epistémica</w:t>
            </w:r>
          </w:p>
        </w:tc>
        <w:tc>
          <w:tcPr>
            <w:shd w:val="clear" w:color="auto" w:fill="EBF3FB"/>
          </w:tcPr>
          <w:p>
            <w:pPr>
              <w:spacing w:before="40" w:after="40"/>
            </w:pPr>
            <w:r>
              <w:rPr>
                <w:sz w:val="15"/>
              </w:rPr>
              <w:t xml:space="preserve">Índice compuesto</w:t>
            </w:r>
          </w:p>
        </w:tc>
        <w:tc>
          <w:tcPr>
            <w:shd w:val="clear" w:color="auto" w:fill="EBF3FB"/>
          </w:tcPr>
          <w:p>
            <w:pPr>
              <w:spacing w:before="40" w:after="40"/>
            </w:pPr>
            <w:r>
              <w:rPr>
                <w:sz w:val="15"/>
              </w:rPr>
              <w:t xml:space="preserve">Agregación ponderada</w:t>
            </w:r>
          </w:p>
        </w:tc>
        <w:tc>
          <w:tcPr>
            <w:shd w:val="clear" w:color="auto" w:fill="EBF3FB"/>
          </w:tcPr>
          <w:p>
            <w:pPr>
              <w:spacing w:before="40" w:after="40"/>
            </w:pPr>
            <w:r>
              <w:rPr>
                <w:sz w:val="15"/>
              </w:rPr>
              <w:t xml:space="preserve">A+B+C</w:t>
            </w:r>
          </w:p>
        </w:tc>
        <w:tc>
          <w:tcPr>
            <w:shd w:val="clear" w:color="auto" w:fill="EBF3FB"/>
          </w:tcPr>
          <w:p>
            <w:pPr>
              <w:spacing w:before="40" w:after="40"/>
            </w:pPr>
            <w:r>
              <w:rPr>
                <w:sz w:val="15"/>
              </w:rPr>
              <w:t xml:space="preserve">z-score A+B+C→sig</w:t>
            </w:r>
          </w:p>
        </w:tc>
        <w:tc>
          <w:tcPr>
            <w:shd w:val="clear" w:color="auto" w:fill="EBF3FB"/>
          </w:tcPr>
          <w:p>
            <w:pPr>
              <w:spacing w:before="40" w:after="40"/>
            </w:pPr>
            <w:r>
              <w:rPr>
                <w:sz w:val="15"/>
              </w:rPr>
              <w:t xml:space="preserve">d A-B=0.715***. Parsim. 90%. ρ pesos=1.00.</w:t>
            </w:r>
          </w:p>
        </w:tc>
      </w:tr>
      <w:tr>
        <w:tc>
          <w:tcPr>
            <w:shd w:val="clear" w:color="auto" w:fill="F5EEFF"/>
          </w:tcPr>
          <w:p>
            <w:pPr>
              <w:spacing w:before="40" w:after="40"/>
            </w:pPr>
            <w:r>
              <w:rPr>
                <w:sz w:val="15"/>
              </w:rPr>
              <w:t xml:space="preserve">ICM dis_tri</w:t>
            </w:r>
          </w:p>
        </w:tc>
        <w:tc>
          <w:tcPr>
            <w:shd w:val="clear" w:color="auto" w:fill="F5EEFF"/>
          </w:tcPr>
          <w:p>
            <w:pPr>
              <w:spacing w:before="40" w:after="40"/>
            </w:pPr>
            <w:r>
              <w:rPr>
                <w:sz w:val="15"/>
              </w:rPr>
              <w:t xml:space="preserve">Disociación canales</w:t>
            </w:r>
          </w:p>
        </w:tc>
        <w:tc>
          <w:tcPr>
            <w:shd w:val="clear" w:color="auto" w:fill="F5EEFF"/>
          </w:tcPr>
          <w:p>
            <w:pPr>
              <w:spacing w:before="40" w:after="40"/>
            </w:pPr>
            <w:r>
              <w:rPr>
                <w:sz w:val="15"/>
              </w:rPr>
              <w:t xml:space="preserve">DSP+visión+NLP</w:t>
            </w:r>
          </w:p>
        </w:tc>
        <w:tc>
          <w:tcPr>
            <w:shd w:val="clear" w:color="auto" w:fill="F5EEFF"/>
          </w:tcPr>
          <w:p>
            <w:pPr>
              <w:spacing w:before="40" w:after="40"/>
            </w:pPr>
            <w:r>
              <w:rPr>
                <w:sz w:val="15"/>
              </w:rPr>
              <w:t xml:space="preserve">std(vocal,facial,verbal)</w:t>
            </w:r>
          </w:p>
        </w:tc>
        <w:tc>
          <w:tcPr>
            <w:shd w:val="clear" w:color="auto" w:fill="F5EEFF"/>
          </w:tcPr>
          <w:p>
            <w:pPr>
              <w:spacing w:before="40" w:after="40"/>
            </w:pPr>
            <w:r>
              <w:rPr>
                <w:sz w:val="15"/>
              </w:rPr>
              <w:t xml:space="preserve">Corpus C</w:t>
            </w:r>
          </w:p>
        </w:tc>
        <w:tc>
          <w:tcPr>
            <w:shd w:val="clear" w:color="auto" w:fill="F5EEFF"/>
          </w:tcPr>
          <w:p>
            <w:pPr>
              <w:spacing w:before="40" w:after="40"/>
            </w:pPr>
            <w:r>
              <w:rPr>
                <w:sz w:val="15"/>
              </w:rPr>
              <w:t xml:space="preserve">z-score Corpus C</w:t>
            </w:r>
          </w:p>
        </w:tc>
        <w:tc>
          <w:tcPr>
            <w:shd w:val="clear" w:color="auto" w:fill="F5EEFF"/>
          </w:tcPr>
          <w:p>
            <w:pPr>
              <w:spacing w:before="40" w:after="40"/>
            </w:pPr>
            <w:r>
              <w:rPr>
                <w:sz w:val="15"/>
              </w:rPr>
              <w:t xml:space="preserve">ρ(DIS,dis_tri)=+0.90. Casanare max=0.109.</w:t>
            </w:r>
          </w:p>
        </w:tc>
      </w:tr>
      <w:tr>
        <w:tc>
          <w:tcPr>
            <w:shd w:val="clear" w:color="auto" w:fill="F5EEFF"/>
          </w:tcPr>
          <w:p>
            <w:pPr>
              <w:spacing w:before="40" w:after="40"/>
            </w:pPr>
            <w:r>
              <w:rPr>
                <w:sz w:val="15"/>
              </w:rPr>
              <w:t xml:space="preserve">ICM cong_inj.</w:t>
            </w:r>
          </w:p>
        </w:tc>
        <w:tc>
          <w:tcPr>
            <w:shd w:val="clear" w:color="auto" w:fill="F5EEFF"/>
          </w:tcPr>
          <w:p>
            <w:pPr>
              <w:spacing w:before="40" w:after="40"/>
            </w:pPr>
            <w:r>
              <w:rPr>
                <w:sz w:val="15"/>
              </w:rPr>
              <w:t xml:space="preserve">Congruencia injusta</w:t>
            </w:r>
          </w:p>
        </w:tc>
        <w:tc>
          <w:tcPr>
            <w:shd w:val="clear" w:color="auto" w:fill="F5EEFF"/>
          </w:tcPr>
          <w:p>
            <w:pPr>
              <w:spacing w:before="40" w:after="40"/>
            </w:pPr>
            <w:r>
              <w:rPr>
                <w:sz w:val="15"/>
              </w:rPr>
              <w:t xml:space="preserve">DSP+visión+NLP</w:t>
            </w:r>
          </w:p>
        </w:tc>
        <w:tc>
          <w:tcPr>
            <w:shd w:val="clear" w:color="auto" w:fill="F5EEFF"/>
          </w:tcPr>
          <w:p>
            <w:pPr>
              <w:spacing w:before="40" w:after="40"/>
            </w:pPr>
            <w:r>
              <w:rPr>
                <w:sz w:val="15"/>
              </w:rPr>
              <w:t xml:space="preserve">int(v&lt;0.5∧f&lt;0.5∧vb&lt;0.5)</w:t>
            </w:r>
          </w:p>
        </w:tc>
        <w:tc>
          <w:tcPr>
            <w:shd w:val="clear" w:color="auto" w:fill="F5EEFF"/>
          </w:tcPr>
          <w:p>
            <w:pPr>
              <w:spacing w:before="40" w:after="40"/>
            </w:pPr>
            <w:r>
              <w:rPr>
                <w:sz w:val="15"/>
              </w:rPr>
              <w:t xml:space="preserve">Corpus C</w:t>
            </w:r>
          </w:p>
        </w:tc>
        <w:tc>
          <w:tcPr>
            <w:shd w:val="clear" w:color="auto" w:fill="F5EEFF"/>
          </w:tcPr>
          <w:p>
            <w:pPr>
              <w:spacing w:before="40" w:after="40"/>
            </w:pPr>
            <w:r>
              <w:rPr>
                <w:sz w:val="15"/>
              </w:rPr>
              <w:t xml:space="preserve">z-score Corpus C</w:t>
            </w:r>
          </w:p>
        </w:tc>
        <w:tc>
          <w:tcPr>
            <w:shd w:val="clear" w:color="auto" w:fill="F5EEFF"/>
          </w:tcPr>
          <w:p>
            <w:pPr>
              <w:spacing w:before="40" w:after="40"/>
            </w:pPr>
            <w:r>
              <w:rPr>
                <w:sz w:val="15"/>
              </w:rPr>
              <w:t xml:space="preserve">Catatumbo+Costa Caribe=True. H_ICM_B.</w:t>
            </w:r>
          </w:p>
        </w:tc>
      </w:tr>
      <w:tr>
        <w:tc>
          <w:tcPr>
            <w:shd w:val="clear" w:color="auto" w:fill="F0F0F0"/>
          </w:tcPr>
          <w:p>
            <w:pPr>
              <w:spacing w:before="40" w:after="40"/>
            </w:pPr>
            <w:r>
              <w:rPr>
                <w:sz w:val="15"/>
              </w:rPr>
              <w:t xml:space="preserve">SEM</w:t>
            </w:r>
          </w:p>
        </w:tc>
        <w:tc>
          <w:tcPr>
            <w:shd w:val="clear" w:color="auto" w:fill="F0F0F0"/>
          </w:tcPr>
          <w:p>
            <w:pPr>
              <w:spacing w:before="40" w:after="40"/>
            </w:pPr>
            <w:r>
              <w:rPr>
                <w:sz w:val="15"/>
              </w:rPr>
              <w:t xml:space="preserve">Modelo exploratorio H₃</w:t>
            </w:r>
          </w:p>
        </w:tc>
        <w:tc>
          <w:tcPr>
            <w:shd w:val="clear" w:color="auto" w:fill="F0F0F0"/>
          </w:tcPr>
          <w:p>
            <w:pPr>
              <w:spacing w:before="40" w:after="40"/>
            </w:pPr>
            <w:r>
              <w:rPr>
                <w:sz w:val="15"/>
              </w:rPr>
              <w:t xml:space="preserve">SEM semopy MLW</w:t>
            </w:r>
          </w:p>
        </w:tc>
        <w:tc>
          <w:tcPr>
            <w:shd w:val="clear" w:color="auto" w:fill="F0F0F0"/>
          </w:tcPr>
          <w:p>
            <w:pPr>
              <w:spacing w:before="40" w:after="40"/>
            </w:pPr>
            <w:r>
              <w:rPr>
                <w:sz w:val="15"/>
              </w:rPr>
              <w:t xml:space="preserve">Efectos latentes+ajuste</w:t>
            </w:r>
          </w:p>
        </w:tc>
        <w:tc>
          <w:tcPr>
            <w:shd w:val="clear" w:color="auto" w:fill="F0F0F0"/>
          </w:tcPr>
          <w:p>
            <w:pPr>
              <w:spacing w:before="40" w:after="40"/>
            </w:pPr>
            <w:r>
              <w:rPr>
                <w:sz w:val="15"/>
              </w:rPr>
              <w:t xml:space="preserve">A+B+C</w:t>
            </w:r>
          </w:p>
        </w:tc>
        <w:tc>
          <w:tcPr>
            <w:shd w:val="clear" w:color="auto" w:fill="F0F0F0"/>
          </w:tcPr>
          <w:p>
            <w:pPr>
              <w:spacing w:before="40" w:after="40"/>
            </w:pPr>
            <w:r>
              <w:rPr>
                <w:sz w:val="15"/>
              </w:rPr>
              <w:t xml:space="preserve">—</w:t>
            </w:r>
          </w:p>
        </w:tc>
        <w:tc>
          <w:tcPr>
            <w:shd w:val="clear" w:color="auto" w:fill="F0F0F0"/>
          </w:tcPr>
          <w:p>
            <w:pPr>
              <w:spacing w:before="40" w:after="40"/>
            </w:pPr>
            <w:r>
              <w:rPr>
                <w:sz w:val="15"/>
              </w:rPr>
              <w:t xml:space="preserve">Modela error medición. Bloqueado IAA.</w:t>
            </w:r>
          </w:p>
        </w:tc>
      </w:tr>
    </w:tbl>
    <w:p>
      <w:pPr>
        <w:pStyle w:val="Normal"/>
        <w:jc w:val="both"/>
      </w:pPr>
      <w:r>
        <w:rPr>
          <w:i/>
          <w:color w:val="595959"/>
          <w:sz w:val="16"/>
        </w:rPr>
        <w:t xml:space="preserve">Nota. IO = Inside-Outside (sequence labeling). VSM = Vector Space Model. LM = Language Model. sig = sigmoid. z-score+sigmoid elimina valores extremos 0/1. DIS_v1 = versión principal (Corpus C). DIS_v2 = versión alternativa (A vs B). Normalización A+B+C = distribución conjunta de 1,420 bloques. Nivel Corpus C = distribución oral conjunta (vocal 1,351 seg; facial 2,822 frames; verbal 547 bloques). Indicadores marcados con Pendiente v3 requieren κ&gt;0.80 del protocolo IAA.</w:t>
      </w:r>
    </w:p>
    <w:p>
      <w:pPr>
        <w:pStyle w:val="Heading3"/>
        <w:spacing w:after="140" w:before="280"/>
        <w:outlineLvl w:val="2"/>
      </w:pPr>
      <w:r>
        <w:rPr>
          <w:rFonts w:ascii="Times New Roman" w:cs="Times New Roman" w:eastAsia="Times New Roman" w:hAnsi="Times New Roman"/>
          <w:b/>
          <w:bCs/>
          <w:i/>
          <w:iCs/>
          <w:color w:val="000000"/>
          <w:sz w:val="24"/>
          <w:szCs w:val="24"/>
        </w:rPr>
        <w:t>4.5.6 Estimación del modelo estadístico</w:t>
      </w:r>
    </w:p>
    <w:p>
      <w:pPr>
        <w:spacing w:after="200" w:line="360" w:lineRule="auto"/>
        <w:ind w:firstLine="720"/>
        <w:jc w:val="both"/>
      </w:pPr>
      <w:r>
        <w:rPr>
          <w:rFonts w:ascii="Times New Roman" w:cs="Times New Roman" w:eastAsia="Times New Roman" w:hAnsi="Times New Roman"/>
          <w:color w:val="000000"/>
          <w:sz w:val="24"/>
          <w:szCs w:val="24"/>
        </w:rPr>
        <w:t xml:space="preserve">El análisis estadístico principal es el path analysis (análisis de senderos) con las variables observadas de las tres capas. Los resultados actuales del path analysis exploratorio sobre Corpus A y B (CFI=0.619, RMSEA=0.437, n=873) muestran que y₃ distancia léxico-civil es el predictor más fuerte de la transición epistémica (β=−5.337, p&lt;0.001). El modelo integrado con Capa 3 utilizará PLS-SEM o Bayesian SEM con priors informativos para manejar el tamaño de muestra más pequeño del Corpus C (~50-100 segmentos por audiencia).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59E0B" w:sz="1"/>
              <w:left w:val="single" w:color="F59E0B" w:sz="6"/>
              <w:bottom w:val="single" w:color="F59E0B" w:sz="1"/>
              <w:right w:val="single" w:color="F59E0B" w:sz="1"/>
            </w:tcBorders>
            <w:shd w:fill="FEF3CD" w:val="clear"/>
            <w:tcMar>
              <w:top w:type="dxa" w:w="100"/>
              <w:left w:type="dxa" w:w="200"/>
              <w:bottom w:type="dxa" w:w="100"/>
              <w:right w:type="dxa" w:w="120"/>
            </w:tcMar>
          </w:tcPr>
          <w:p>
            <w:pPr>
              <w:spacing w:after="0"/>
            </w:pPr>
            <w:r>
              <w:rPr>
                <w:rFonts w:ascii="Times New Roman" w:cs="Times New Roman" w:eastAsia="Times New Roman" w:hAnsi="Times New Roman"/>
                <w:b/>
                <w:bCs/>
                <w:color w:val="92400E"/>
                <w:sz w:val="22"/>
                <w:szCs w:val="22"/>
              </w:rPr>
              <w:t xml:space="preserve">Nota de estado (junio 2026): </w:t>
            </w:r>
            <w:r>
              <w:rPr>
                <w:rFonts w:ascii="Times New Roman" w:cs="Times New Roman" w:eastAsia="Times New Roman" w:hAnsi="Times New Roman"/>
                <w:i/>
                <w:iCs/>
                <w:color w:val="92400E"/>
                <w:sz w:val="22"/>
                <w:szCs w:val="22"/>
              </w:rPr>
              <w:t xml:space="preserve">eGeMAPS OpenSMILE canal vocal completado (10.897 ventanas, 4 subcasos). ICM tri-canal ponderado calculado e integrado (§5.11). Canal facial Costa Caribe no procesado por restricciones DRM en video fuente; análisis textual completado. SEM completo pendiente de y₇ surprisal e IAA κ&gt;0.80.</w:t>
            </w:r>
          </w:p>
        </w:tc>
      </w:tr>
    </w:tbl>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4.6 Protocolo de validación</w:t>
      </w:r>
    </w:p>
    <w:p>
      <w:pPr>
        <w:pStyle w:val="Heading3"/>
        <w:spacing w:after="140" w:before="280"/>
        <w:outlineLvl w:val="2"/>
      </w:pPr>
      <w:r>
        <w:rPr>
          <w:rFonts w:ascii="Times New Roman" w:cs="Times New Roman" w:eastAsia="Times New Roman" w:hAnsi="Times New Roman"/>
          <w:b/>
          <w:bCs/>
          <w:i/>
          <w:iCs/>
          <w:color w:val="000000"/>
          <w:sz w:val="24"/>
          <w:szCs w:val="24"/>
        </w:rPr>
        <w:t xml:space="preserve">4.6.1 Validez de contenido</w:t>
      </w:r>
    </w:p>
    <w:p>
      <w:pPr>
        <w:spacing w:after="200" w:line="360" w:lineRule="auto"/>
        <w:ind w:firstLine="720"/>
        <w:jc w:val="both"/>
      </w:pPr>
      <w:r>
        <w:rPr>
          <w:rFonts w:ascii="Times New Roman" w:cs="Times New Roman" w:eastAsia="Times New Roman" w:hAnsi="Times New Roman"/>
          <w:color w:val="000000"/>
          <w:sz w:val="24"/>
          <w:szCs w:val="24"/>
        </w:rPr>
        <w:t xml:space="preserve">La validez de contenido se asegura mediante revisión experta del protocolo de anotación, calibración de anotadores con 20 fragmentos de práctica, e inclusión de reglas explícitas de desambiguación para los cinco casos difíciles más frecuentes.</w:t>
      </w:r>
    </w:p>
    <w:p>
      <w:pPr>
        <w:pStyle w:val="Heading3"/>
        <w:spacing w:after="140" w:before="280"/>
        <w:outlineLvl w:val="2"/>
      </w:pPr>
      <w:r>
        <w:rPr>
          <w:rFonts w:ascii="Times New Roman" w:cs="Times New Roman" w:eastAsia="Times New Roman" w:hAnsi="Times New Roman"/>
          <w:b/>
          <w:bCs/>
          <w:i/>
          <w:iCs/>
          <w:color w:val="000000"/>
          <w:sz w:val="24"/>
          <w:szCs w:val="24"/>
        </w:rPr>
        <w:t xml:space="preserve">4.6.2 Validez de constructo</w:t>
      </w:r>
    </w:p>
    <w:p>
      <w:pPr>
        <w:spacing w:after="200" w:line="360" w:lineRule="auto"/>
        <w:ind w:firstLine="720"/>
        <w:jc w:val="both"/>
      </w:pPr>
      <w:r>
        <w:rPr>
          <w:rFonts w:ascii="Times New Roman" w:cs="Times New Roman" w:eastAsia="Times New Roman" w:hAnsi="Times New Roman"/>
          <w:color w:val="000000"/>
          <w:sz w:val="24"/>
          <w:szCs w:val="24"/>
        </w:rPr>
        <w:t xml:space="preserve">La validez convergente se verifica con cargas factoriales ≥ 0.70 y AVE ≥ 0.50. La validez discriminante se verifica si el AVE supera el cuadrado de la correlación entre constructos. La validez nomológica se verifica si las relaciones entre constructos son coherentes con las predicciones del marco Fraser-Galtung-Habermas.</w:t>
      </w:r>
    </w:p>
    <w:p>
      <w:pPr>
        <w:pStyle w:val="Heading3"/>
        <w:spacing w:after="140" w:before="280"/>
        <w:outlineLvl w:val="2"/>
      </w:pPr>
      <w:r>
        <w:rPr>
          <w:rFonts w:ascii="Times New Roman" w:cs="Times New Roman" w:eastAsia="Times New Roman" w:hAnsi="Times New Roman"/>
          <w:b/>
          <w:bCs/>
          <w:i/>
          <w:iCs/>
          <w:color w:val="000000"/>
          <w:sz w:val="24"/>
          <w:szCs w:val="24"/>
        </w:rPr>
        <w:t xml:space="preserve">4.6.3 Validez externa</w:t>
      </w:r>
    </w:p>
    <w:p>
      <w:pPr>
        <w:spacing w:after="200" w:line="360" w:lineRule="auto"/>
        <w:ind w:firstLine="720"/>
        <w:jc w:val="both"/>
      </w:pPr>
      <w:r>
        <w:rPr>
          <w:rFonts w:ascii="Times New Roman" w:cs="Times New Roman" w:eastAsia="Times New Roman" w:hAnsi="Times New Roman"/>
          <w:color w:val="000000"/>
          <w:sz w:val="24"/>
          <w:szCs w:val="24"/>
        </w:rPr>
        <w:t xml:space="preserve">La validez externa del índice de injusticia discursiva se evalúa comparando los scores calculados para n=20 casos con evaluaciones cualitativas independientes de investigadores especialistas en derechos humanos y análisis del discurso (correlación de Spearman, umbral r_s ≥ 0.70). La validez del ICM se evalúa mediante el criterio de Baird y Coutinho (2019): correlación entre el ICM calculado y la percepción de sinceridad de jueces humanos sobre una muestra de segmentos del Corpus C.</w:t>
      </w:r>
    </w:p>
    <w:p>
      <w:pPr>
        <w:pStyle w:val="Heading3"/>
        <w:spacing w:after="140" w:before="280"/>
        <w:outlineLvl w:val="2"/>
      </w:pPr>
      <w:r>
        <w:rPr>
          <w:rFonts w:ascii="Times New Roman" w:cs="Times New Roman" w:eastAsia="Times New Roman" w:hAnsi="Times New Roman"/>
          <w:b/>
          <w:bCs/>
          <w:i/>
          <w:iCs/>
          <w:color w:val="000000"/>
          <w:sz w:val="24"/>
          <w:szCs w:val="24"/>
        </w:rPr>
        <w:t xml:space="preserve">4.6.4 Validez de replicabilidad</w:t>
      </w:r>
    </w:p>
    <w:p>
      <w:pPr>
        <w:spacing w:after="200" w:line="360" w:lineRule="auto"/>
        <w:ind w:firstLine="720"/>
        <w:jc w:val="both"/>
      </w:pPr>
      <w:r>
        <w:rPr>
          <w:rFonts w:ascii="Times New Roman" w:cs="Times New Roman" w:eastAsia="Times New Roman" w:hAnsi="Times New Roman"/>
          <w:color w:val="000000"/>
          <w:sz w:val="24"/>
          <w:szCs w:val="24"/>
        </w:rPr>
        <w:t xml:space="preserve">El framework CFH está diseñado para ser replicable. El repositorio público en GitHub contiene el código completo (pyproject.toml, requirements.txt, datos de muestra), los centroides MAFAPO y CIDH v2, el protocolo de anotación, y la documentación de cada módulo del pipeline. La replicabilidad se evalúa mediante la capacidad de un investigador externo de reproducir los resultados principales siguiendo la documentación del repositorio.</w:t>
      </w:r>
    </w:p>
    <w:p>
      <w:pPr>
        <w:spacing w:after="120"/>
      </w:pPr>
      <w:r>
        <w:rPr>
          <w:rFonts w:ascii="Times New Roman" w:cs="Times New Roman" w:eastAsia="Times New Roman" w:hAnsi="Times New Roman"/>
          <w:color w:val="000000"/>
          <w:sz w:val="24"/>
          <w:szCs w:val="24"/>
        </w:rPr>
        <w:t xml:space="preserve"/>
      </w:r>
    </w:p>
    <w:p>
      <w:pPr>
        <w:spacing w:after="200" w:before="480"/>
      </w:pPr>
      <w:r>
        <w:rPr>
          <w:rFonts w:ascii="Times New Roman" w:cs="Times New Roman" w:eastAsia="Times New Roman" w:hAnsi="Times New Roman"/>
          <w:b/>
          <w:bCs/>
          <w:color w:val="000000"/>
          <w:sz w:val="22"/>
          <w:szCs w:val="22"/>
        </w:rPr>
        <w:t xml:space="preserve">Referencias del capítulo</w:t>
      </w:r>
    </w:p>
    <w:p>
      <w:pPr>
        <w:spacing w:after="120"/>
        <w:ind w:left="720" w:hanging="720"/>
        <w:jc w:val="both"/>
      </w:pPr>
      <w:r>
        <w:rPr>
          <w:rFonts w:ascii="Times New Roman" w:cs="Times New Roman" w:eastAsia="Times New Roman" w:hAnsi="Times New Roman"/>
          <w:color w:val="000000"/>
          <w:sz w:val="20"/>
          <w:szCs w:val="20"/>
        </w:rPr>
        <w:t xml:space="preserve">Baird, A. y Coutinho, E. (2019). Sincerity in Acted Speech: The Sincere Apology Corpus (SinA-C). INTERSPEECH 2019.</w:t>
      </w:r>
    </w:p>
    <w:p>
      <w:pPr>
        <w:spacing w:after="120"/>
        <w:ind w:left="720" w:hanging="720"/>
        <w:jc w:val="both"/>
      </w:pPr>
      <w:r>
        <w:rPr>
          <w:rFonts w:ascii="Times New Roman" w:cs="Times New Roman" w:eastAsia="Times New Roman" w:hAnsi="Times New Roman"/>
          <w:color w:val="000000"/>
          <w:sz w:val="20"/>
          <w:szCs w:val="20"/>
        </w:rPr>
        <w:t xml:space="preserve">Baltrusaitis, T., et al. (2025). OpenFace 3.0: A Lightweight Multitask System for Comprehensive Facial Behavior Analysis. arXiv:2506.02891.</w:t>
      </w:r>
    </w:p>
    <w:p>
      <w:pPr>
        <w:spacing w:after="120"/>
        <w:ind w:left="720" w:hanging="720"/>
        <w:jc w:val="both"/>
      </w:pPr>
      <w:r>
        <w:rPr>
          <w:rFonts w:ascii="Times New Roman" w:cs="Times New Roman" w:eastAsia="Times New Roman" w:hAnsi="Times New Roman"/>
          <w:color w:val="000000"/>
          <w:sz w:val="20"/>
          <w:szCs w:val="20"/>
        </w:rPr>
        <w:t xml:space="preserve">Bredin, H., et al. (2023). pyannote.audio 2.1 speaker diarization pipeline. ICASSP 2023.</w:t>
      </w:r>
    </w:p>
    <w:p>
      <w:pPr>
        <w:spacing w:after="120"/>
        <w:ind w:left="720" w:hanging="720"/>
        <w:jc w:val="both"/>
      </w:pPr>
      <w:r>
        <w:rPr>
          <w:rFonts w:ascii="Times New Roman" w:cs="Times New Roman" w:eastAsia="Times New Roman" w:hAnsi="Times New Roman"/>
          <w:color w:val="000000"/>
          <w:sz w:val="20"/>
          <w:szCs w:val="20"/>
        </w:rPr>
        <w:t xml:space="preserve">Cañete, J., Chaperon, G., Fuentes, R., Ho, J.-H., Kang, H., y Pérez, J. (2020). Spanish pre-trained BERT model and evaluation data. ICLR 2020 Workshop on Multilingual Representations for NLP.</w:t>
      </w:r>
    </w:p>
    <w:p>
      <w:pPr>
        <w:spacing w:after="120"/>
        <w:ind w:left="720" w:hanging="720"/>
        <w:jc w:val="both"/>
      </w:pPr>
      <w:r>
        <w:rPr>
          <w:rFonts w:ascii="Times New Roman" w:cs="Times New Roman" w:eastAsia="Times New Roman" w:hAnsi="Times New Roman"/>
          <w:color w:val="000000"/>
          <w:sz w:val="20"/>
          <w:szCs w:val="20"/>
        </w:rPr>
        <w:t xml:space="preserve">Eyben, F., Scherer, K. R., Schuller, B. W., et al. (2016). The Geneva Minimalistic Acoustic Parameter Set (GeMAPS) for Voice Research and Affective Computing. IEEE T-AFFC, 7(2), 190–202.</w:t>
      </w:r>
    </w:p>
    <w:p>
      <w:pPr>
        <w:spacing w:after="120"/>
        <w:ind w:left="720" w:hanging="720"/>
        <w:jc w:val="both"/>
      </w:pPr>
      <w:r>
        <w:rPr>
          <w:rFonts w:ascii="Times New Roman" w:cs="Times New Roman" w:eastAsia="Times New Roman" w:hAnsi="Times New Roman"/>
          <w:color w:val="000000"/>
          <w:sz w:val="20"/>
          <w:szCs w:val="20"/>
        </w:rPr>
        <w:t xml:space="preserve">Igolkina, A. A. y Meshcheryakov, G. (2020). semopy: A Python package for Structural Equation Models. arXiv:2003.05838.</w:t>
      </w:r>
    </w:p>
    <w:p>
      <w:pPr>
        <w:spacing w:after="120"/>
        <w:ind w:left="720" w:hanging="720"/>
        <w:jc w:val="both"/>
      </w:pPr>
      <w:r>
        <w:rPr>
          <w:rFonts w:ascii="Times New Roman" w:cs="Times New Roman" w:eastAsia="Times New Roman" w:hAnsi="Times New Roman"/>
          <w:color w:val="000000"/>
          <w:sz w:val="20"/>
          <w:szCs w:val="20"/>
        </w:rPr>
        <w:t xml:space="preserve">Kline, R. B. (2023). Principles and Practice of Structural Equation Modeling (5.ª ed.). Guilford Press.</w:t>
      </w:r>
    </w:p>
    <w:p>
      <w:pPr>
        <w:spacing w:after="120"/>
        <w:ind w:left="720" w:hanging="720"/>
        <w:jc w:val="both"/>
      </w:pPr>
      <w:r>
        <w:rPr>
          <w:rFonts w:ascii="Times New Roman" w:cs="Times New Roman" w:eastAsia="Times New Roman" w:hAnsi="Times New Roman"/>
          <w:color w:val="000000"/>
          <w:sz w:val="20"/>
          <w:szCs w:val="20"/>
        </w:rPr>
        <w:t xml:space="preserve">Landis, J. R. y Koch, G. G. (1977). The measurement of observer agreement for categorical data. Biometrics, 33(1), 159–174.</w:t>
      </w:r>
    </w:p>
    <w:p>
      <w:pPr>
        <w:spacing w:after="120"/>
        <w:ind w:left="720" w:hanging="720"/>
        <w:jc w:val="both"/>
      </w:pPr>
      <w:r>
        <w:rPr>
          <w:rFonts w:ascii="Times New Roman" w:cs="Times New Roman" w:eastAsia="Times New Roman" w:hAnsi="Times New Roman"/>
          <w:color w:val="000000"/>
          <w:sz w:val="20"/>
          <w:szCs w:val="20"/>
        </w:rPr>
        <w:t xml:space="preserve">Lugaresi, C., et al. (2023). MediaPipe: A Framework for Perceiving and Processing Reality. CVPR Workshop on Computer Vision for Augmented and Virtual Reality.</w:t>
      </w:r>
    </w:p>
    <w:p>
      <w:pPr>
        <w:spacing w:after="120"/>
        <w:ind w:left="720" w:hanging="720"/>
        <w:jc w:val="both"/>
      </w:pPr>
      <w:r>
        <w:rPr>
          <w:rFonts w:ascii="Times New Roman" w:cs="Times New Roman" w:eastAsia="Times New Roman" w:hAnsi="Times New Roman"/>
          <w:color w:val="000000"/>
          <w:sz w:val="20"/>
          <w:szCs w:val="20"/>
        </w:rPr>
        <w:t xml:space="preserve">MAFAPO — Madres de Falsos Positivos de Soacha y Bogotá. (2021). Unidas por la Memoria y la Verdad. OIM / Embajada de Suecia.</w:t>
      </w:r>
    </w:p>
    <w:p>
      <w:pPr>
        <w:spacing w:after="120"/>
        <w:ind w:left="720" w:hanging="720"/>
        <w:jc w:val="both"/>
      </w:pPr>
      <w:r>
        <w:rPr>
          <w:rFonts w:ascii="Times New Roman" w:cs="Times New Roman" w:eastAsia="Times New Roman" w:hAnsi="Times New Roman"/>
          <w:color w:val="000000"/>
          <w:sz w:val="20"/>
          <w:szCs w:val="20"/>
        </w:rPr>
        <w:t xml:space="preserve">Radford, A., Kim, J. W., Xu, T., Brockman, G., McLeavey, C., y Sutskever, I. (2022). Robust speech recognition via large-scale weak supervision. Proceedings of ICML 2023.</w:t>
      </w:r>
    </w:p>
    <w:p>
      <w:pPr>
        <w:spacing w:after="120"/>
        <w:ind w:left="720" w:hanging="720"/>
        <w:jc w:val="both"/>
      </w:pPr>
      <w:r>
        <w:rPr>
          <w:rFonts w:ascii="Times New Roman" w:cs="Times New Roman" w:eastAsia="Times New Roman" w:hAnsi="Times New Roman"/>
          <w:color w:val="000000"/>
          <w:sz w:val="20"/>
          <w:szCs w:val="20"/>
        </w:rPr>
        <w:t xml:space="preserve">Scientific Reports. (2024). The nonverbal expression of guilt in healthy adults. Nature, vol. 14, art. 10607.</w:t>
      </w:r>
    </w:p>
    <w:p>
      <w:pPr>
        <w:spacing w:after="120"/>
        <w:ind w:left="720" w:hanging="720"/>
        <w:jc w:val="both"/>
      </w:pPr>
      <w:r>
        <w:rPr>
          <w:rFonts w:ascii="Times New Roman" w:cs="Times New Roman" w:eastAsia="Times New Roman" w:hAnsi="Times New Roman"/>
          <w:color w:val="000000"/>
          <w:sz w:val="20"/>
          <w:szCs w:val="20"/>
        </w:rPr>
        <w:t xml:space="preserve">Yang, W., Alsarra, S., Abdeljaber, L., Zawad, N., Delaram, Z., Osorio, J., Khan, L., Brandt, P., y D'Orazio, V. (2023). ConfliBERT-Spanish: A Pre-trained Spanish Language Model for Political Conflict and Violence. IEEE CiSt 2023, pp. 287–292.</w:t>
      </w:r>
    </w:p>
    <w:sectPr>
      <w:headerReference w:type="default" r:id="rId7"/>
      <w:footerReference w:type="default" r:id="rId8"/>
      <w:pgSz w:w="11906" w:h="16838" w:orient="portrait"/>
      <w:pgMar w:top="2268" w:right="1701" w:bottom="2268" w:left="226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Times New Roman" w:cs="Times New Roman" w:eastAsia="Times New Roman" w:hAnsi="Times New Roman"/>
        <w:i/>
        <w:iCs/>
        <w:color w:val="595959"/>
        <w:sz w:val="20"/>
        <w:szCs w:val="20"/>
      </w:rPr>
      <w:t xml:space="preserve">Hermenéutica Forense Computacional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Times New Roman" w:cs="Times New Roman" w:eastAsia="Times New Roman" w:hAnsi="Times New Roman"/>
      <w:b/>
      <w:bCs/>
      <w:color w:val="0D2137"/>
      <w:sz w:val="28"/>
      <w:szCs w:val="28"/>
    </w:rPr>
  </w:style>
  <w:style w:type="paragraph" w:styleId="Heading2">
    <w:name w:val="Heading 2"/>
    <w:basedOn w:val="Normal"/>
    <w:next w:val="Normal"/>
    <w:qFormat/>
    <w:pPr>
      <w:spacing w:after="180" w:before="36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140" w:before="280"/>
      <w:outlineLvl w:val="2"/>
    </w:pPr>
    <w:rPr>
      <w:rFonts w:ascii="Times New Roman" w:cs="Times New Roman" w:eastAsia="Times New Roman" w:hAnsi="Times New Roman"/>
      <w:b/>
      <w:bCs/>
      <w:i/>
      <w:i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2026-04-15T00:35:08.378Z</dcterms:created>
  <dcterms:modified xsi:type="dcterms:W3CDTF">2026-04-15T00:35:08.379Z</dcterms:modified>
</cp:coreProperties>
</file>

<file path=docProps/custom.xml><?xml version="1.0" encoding="utf-8"?>
<Properties xmlns="http://schemas.openxmlformats.org/officeDocument/2006/custom-properties" xmlns:vt="http://schemas.openxmlformats.org/officeDocument/2006/docPropsVTypes"/>
</file>