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40% Dabeiba, 93%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mayor congruencia multimodal entre canales.</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congruencia entre canales comunicativos. La versión implementada calcula ICM facial = distress_medio / (distress_medio + sonrisa_media), donde distress_medio = (AU1 + AU4 + AU15) / 3. Valores más altos indican mayor congruencia entre el reconocimiento verbal y la expresión facial de distress — alta congruencia multimodal. Valores más bajos indican dominancia de la sonrisa — baja congruencia multimodal.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Una segunda limitación metodológica es la normalización por percentil del propio corpus: los indicadores y₂–y₄ e y₁₀ se normalizan usando los percentiles de la distribución interna del corpus A+B, lo que los hace dependientes del tamaño y composición del corpus y limita su comparabilidad estricta con corpus externos. Esta limitación afecta principalmente la comparación entre el corpus original y cualquier extensión futura del análisis, pero no invalida la comparación interna A vs B que es el objeto central de la investigación.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