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 (CFH):</w:t>
      </w:r>
    </w:p>
    <w:p>
      <w:pPr>
        <w:spacing w:after="120"/>
        <w:jc w:val="center"/>
      </w:pPr>
      <w:r>
        <w:rPr>
          <w:rFonts w:ascii="Times New Roman" w:cs="Times New Roman" w:eastAsia="Times New Roman" w:hAnsi="Times New Roman"/>
          <w:b/>
          <w:bCs/>
          <w:color w:val="0D2137"/>
          <w:sz w:val="28"/>
          <w:szCs w:val="28"/>
        </w:rPr>
        <w:t xml:space="preserve">medición computacional multimodal de la</w:t>
      </w:r>
    </w:p>
    <w:p>
      <w:pPr>
        <w:spacing w:after="600"/>
        <w:jc w:val="center"/>
      </w:pPr>
      <w:r>
        <w:rPr>
          <w:rFonts w:ascii="Times New Roman" w:cs="Times New Roman" w:eastAsia="Times New Roman" w:hAnsi="Times New Roman"/>
          <w:b/>
          <w:bCs/>
          <w:color w:val="0D2137"/>
          <w:sz w:val="26"/>
          <w:szCs w:val="26"/>
        </w:rPr>
        <w:t xml:space="preserve">injusticia discursiva y epistémica en el archivo judicial colombiano</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fldSimple w:instr="PAGEREF Introducción \h"/>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fldSimple w:instr="PAGEREF 1.1_Planteamiento_del_problema \h"/>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fldSimple w:instr="PAGEREF 1.2_Pregunta_de_investigación \h"/>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fldSimple w:instr="PAGEREF 1.3_Objetivos \h"/>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fldSimple w:instr="PAGEREF 1.4_Justificación \h"/>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fldSimple w:instr="PAGEREF 1.5_Estructura_del_documento \h"/>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fldSimple w:instr="PAGEREF 2._Estado_del_arte \h"/>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fldSimple w:instr="PAGEREF 2.1_Violencia_cultural_y_lenguaje_institucional \h"/>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fldSimple w:instr="PAGEREF 2.2_NLP_aplicado_a_textos_judiciales \h"/>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fldSimple w:instr="PAGEREF 2.3_Justicia_transicional_y_análisis_del_discurso \h"/>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fldSimple w:instr="PAGEREF 2.4_Modelos_de_ecuaciones_estructurales_en_ciencias_sociales_computacionales \h"/>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fldSimple w:instr="PAGEREF 3._Marco_teórico \h"/>
      </w:r>
    </w:p>
    <w:p>
      <w:pPr>
        <w:tabs>
          <w:tab w:val="right" w:pos="8640" w:leader="dot"/>
        </w:tabs>
        <w:spacing w:after="80"/>
      </w:pPr>
      <w:r>
        <w:rPr>
          <w:rFonts w:ascii="Times New Roman" w:cs="Times New Roman" w:eastAsia="Times New Roman" w:hAnsi="Times New Roman"/>
          <w:color w:val="000000"/>
          <w:sz w:val="22"/>
          <w:szCs w:val="22"/>
        </w:rPr>
        <w:t xml:space="preserve">    3.1 Injusticia discursiva: el marco Fraser-Galtung</w:t>
      </w:r>
      <w:r>
        <w:rPr>
          <w:rFonts w:ascii="Times New Roman" w:cs="Times New Roman" w:eastAsia="Times New Roman" w:hAnsi="Times New Roman"/>
          <w:sz w:val="22"/>
          <w:szCs w:val="22"/>
        </w:rPr>
        <w:fldSimple w:instr="PAGEREF 3.1_Injusticia_discursiva:_el_marco_Fraser-Galtung \h"/>
      </w:r>
    </w:p>
    <w:p>
      <w:pPr>
        <w:tabs>
          <w:tab w:val="right" w:pos="8640" w:leader="dot"/>
        </w:tabs>
        <w:spacing w:after="80"/>
      </w:pPr>
      <w:r>
        <w:rPr>
          <w:rFonts w:ascii="Times New Roman" w:cs="Times New Roman" w:eastAsia="Times New Roman" w:hAnsi="Times New Roman"/>
          <w:color w:val="000000"/>
          <w:sz w:val="22"/>
          <w:szCs w:val="22"/>
        </w:rPr>
        <w:t xml:space="preserve">    3.2 La Hermenéutica Forense Computacional (CFH)</w:t>
      </w:r>
      <w:r>
        <w:rPr>
          <w:rFonts w:ascii="Times New Roman" w:cs="Times New Roman" w:eastAsia="Times New Roman" w:hAnsi="Times New Roman"/>
          <w:sz w:val="22"/>
          <w:szCs w:val="22"/>
        </w:rPr>
        <w:fldSimple w:instr="PAGEREF 3.2_La_Hermenéutica_Forense_Computacional_(CFH) \h"/>
      </w:r>
    </w:p>
    <w:p>
      <w:pPr>
        <w:tabs>
          <w:tab w:val="right" w:pos="8640" w:leader="dot"/>
        </w:tabs>
        <w:spacing w:after="80"/>
      </w:pPr>
      <w:r>
        <w:rPr>
          <w:rFonts w:ascii="Times New Roman" w:cs="Times New Roman" w:eastAsia="Times New Roman" w:hAnsi="Times New Roman"/>
          <w:color w:val="000000"/>
          <w:sz w:val="22"/>
          <w:szCs w:val="22"/>
        </w:rPr>
        <w:t xml:space="preserve">    3.3 El Discursive Injustice Score (DIS Score)</w:t>
      </w:r>
      <w:r>
        <w:rPr>
          <w:rFonts w:ascii="Times New Roman" w:cs="Times New Roman" w:eastAsia="Times New Roman" w:hAnsi="Times New Roman"/>
          <w:sz w:val="22"/>
          <w:szCs w:val="22"/>
        </w:rPr>
        <w:fldSimple w:instr="PAGEREF 3.3_El_Discursive_Injustice_Score_(DIS_Score) \h"/>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fldSimple w:instr="PAGEREF 4._Metodología \h"/>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fldSimple w:instr="PAGEREF 4.1_Diseño_de_la_investigación \h"/>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fldSimple w:instr="PAGEREF 4.2_Descripción_del_corpus \h"/>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fldSimple w:instr="PAGEREF 4.3_Pipeline_de_ingesta_y_procesamiento \h"/>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fldSimple w:instr="PAGEREF 4.4_Taxonomía_de_anotación_CFH \h"/>
      </w:r>
    </w:p>
    <w:p>
      <w:pPr>
        <w:tabs>
          <w:tab w:val="right" w:pos="8640" w:leader="dot"/>
        </w:tabs>
        <w:spacing w:after="80"/>
      </w:pPr>
      <w:r>
        <w:rPr>
          <w:rFonts w:ascii="Times New Roman" w:cs="Times New Roman" w:eastAsia="Times New Roman" w:hAnsi="Times New Roman"/>
          <w:color w:val="000000"/>
          <w:sz w:val="22"/>
          <w:szCs w:val="22"/>
        </w:rPr>
        <w:t xml:space="preserve">    4.5 Modelo de medición SEM</w:t>
      </w:r>
      <w:r>
        <w:rPr>
          <w:rFonts w:ascii="Times New Roman" w:cs="Times New Roman" w:eastAsia="Times New Roman" w:hAnsi="Times New Roman"/>
          <w:sz w:val="22"/>
          <w:szCs w:val="22"/>
        </w:rPr>
        <w:fldSimple w:instr="PAGEREF 4.5_Modelo_de_medición_SEM \h"/>
      </w:r>
    </w:p>
    <w:p>
      <w:pPr>
        <w:tabs>
          <w:tab w:val="right" w:pos="8640" w:leader="dot"/>
        </w:tabs>
        <w:spacing w:after="80"/>
      </w:pPr>
      <w:r>
        <w:rPr>
          <w:rFonts w:ascii="Times New Roman" w:cs="Times New Roman" w:eastAsia="Times New Roman" w:hAnsi="Times New Roman"/>
          <w:color w:val="000000"/>
          <w:sz w:val="22"/>
          <w:szCs w:val="22"/>
        </w:rPr>
        <w:t xml:space="preserve">    4.6 Protocolo de validación</w:t>
      </w:r>
      <w:r>
        <w:rPr>
          <w:rFonts w:ascii="Times New Roman" w:cs="Times New Roman" w:eastAsia="Times New Roman" w:hAnsi="Times New Roman"/>
          <w:sz w:val="22"/>
          <w:szCs w:val="22"/>
        </w:rPr>
        <w:fldSimple w:instr="PAGEREF 4.6_Protocolo_de_validación \h"/>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fldSimple w:instr="PAGEREF 5._Resultados \h"/>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fldSimple w:instr="PAGEREF 6._Discusión_y_conclusiones \h"/>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fldSimple w:instr="PAGEREF Referencias \h"/>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fldSimple w:instr="PAGEREF Apéndices \h"/>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injusticia discursiva y epistémica en el archivo judicial colombiano.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¿Existe una ruptura epistémica estadísticamente significativa entre el discurso de la justicia ordinaria y la JEP, medida mediante el índice de injusticia discursiva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es genuino —congruente entre texto, voz y expresión facial— o performativo, medido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1 léxica: diseñar y validar la Taxonomía CFH (EBI, SA, NV, REP) con κ&gt;0.80,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si el reconocimiento de los comparecientes es genuino —congruente entre texto, voz y rostro— o performativo, operacionalizando así el concepto de reconocimiento genuino de Nancy Fraser.</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Estimar el modelo de análisis de senderos con las tres capas integradas y probar la hipótesis central: que la ruptura epistémica entre justicia ordinaria y JEP es medible, significativa y no atribuible a diferencias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 audiencias del Macrocaso 003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y Zehr (justicia restaurativa), y formaliza el framework CFH con sus tres capas y el ICM. El Capítulo 4 describe la metodología: corpus multimodal, pipeline de procesamiento, taxonomía CFH, extractores léxicos y semánticos, extracción de features acústicas y faciales,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citadas en esta sección</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 de Responsabilidad y de Determinación de los Hechos y Conductas.</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Sen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Goupil et al. (2021)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p>
            <w:r>
              <w:t>Injusticia epistémica operacionalizada</w:t>
            </w:r>
          </w:p>
        </w:tc>
        <w:tc>
          <w:p>
            <w:r>
              <w:t>Dryzek y Niemeyer (2024): DRI por encuesta deliberativa</w:t>
            </w:r>
          </w:p>
        </w:tc>
        <w:tc>
          <w:p>
            <w:r>
              <w:t>CFH: embeddings sobre archivo judicial + centroides MAFAPO como polo normativo de las víctimas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R. I. A., Sreenivasan, N., Kang, S. Y., Miller, A. M.-L., Chacko, M., Krishnan, S., Ayala, C., Ayala, E., y Kim, D. (2025). LegalEye: Multimodal Court Deception Detection Across Multiple Languages. Behavioral Sciences, 15(12), 1707. DOI: 10.3390/bs15121707</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Goupil, L., Ponsot, E., Richardson, D., Reyes, G., y Aucouturier, J.-J. (2021). Listeners' perceptions of certainty and honesty are associated with a common prosodic signature. Nature Communications, 12, 861. DOI: 10.1038/s41467-021-21516-2</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
Dryzek, J. S., y Niemeyer, S. J. (2024). Expressive Epistemic Injustice: Definition, Measurement, and Deliberative Cure. Political Research Quarterly. DOI: 10.1177/10659129241297272
Gilardi, F., Alizadeh, M., y Kubli, M. (2023). ChatGPT outperforms crowd workers for text-annotation tasks. Proceedings of the National Academy of Sciences, 120(30), e2305016120. DOI: 10.1073/pnas.2305016120
Kübler-Wachendorff, S., et al. (2024). Best Practices for Text Annotation with Large Language Models. arXiv:2402.05129</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(Δ=0.225),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Bohórquez, S., y Mantilla, A. (2025). False Positives in Colombia: State Violence, Ignorance and the Epistemic Struggles of Victims. ERLACS. https://doi.org/10.32992/erlacs.11238
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AUs + head pose,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el centroide MAFAPO y el centroide CIDH.
El centroide MAFAPO (v4) se construye a partir de 169 textos de voz directa de víctimas de los falsos positivos organizados en cuatro bloques: (B1) 25 textos del informe MAFAPO «Unidas por la Memoria y la Verdad» (2021); (B2) 15 testimonios de Dejusticia (2024); (B3) 8 párrafos del comunicado conjunto de organizaciones de víctimas — MAFAPO, MOVICE, Colectivo Tejiendo Memorias, CJL, Asociación Minga, CJYC, Observatorio CCEEU, Humanidad Vigente (mayo 2024); y (B4) 102 segmentos de voz directa de familiares extraídos de 11 audiencias de reconocimiento y de observaciones de víctimas del Macrocaso 003 (2022–2026), transcritas con Whisper large-v3 y filtradas por densidad léxica de testimonio directo. Los segmentos del Bloque 4 reciben un peso ponderado mayor (w=1.8) que los textos escritos (w=1.0), por constituir el acto testimonial directo en su contexto de enunciación original — las audiencias JEP — y por coherencia metodológica con la Capa 3 del framework, que analiza esas mismas audiencias mediante el ICM tri-canal.
El centroide CIDH se construye a partir de 25 fragmentos reales de la sentencia Villamizar Durán y otros vs. Colombia (Corte IDH, 2018) y comunicados de la CIDH sobre ejecuciones extrajudiciales en Colombia.
La robustez del centroide MAFAPO v4 se verifica mediante tres criterios: (1) margen de error estadístico de ±7.7% (n=169, fórmula 1/raiz(n)); (2) distancia coseno entre versiones sucesivas Δ=0.0066 — variación presente pero metodológicamente aceptable dado el incremento sustancial de fuentes; y (3) reducción de la correlación entre y₈ y y₉ de r=0.875 (centroide v3b, n=67) a r=0.638 (centroide v4, n=169, p&lt;0.001), lo que confirma que los dos indicadores capturan dimensiones distintas de la injusticia epistémica. Los centroides se construyen como el promedio ponderado de los vectores semánticos de cada corpus de referencia en el espacio de ConfliBERT-Spanish, normalizados a longitud unitaria.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Crivelli, C., y Fridlund, A. J. (2018). Facial Displays Are Tools for Social Influence. Trends in Cognitive Sciences, 22(5), 388–399.
Mendelsohn, J., Tsvetkov, Y., y Jurafsky, D. (2020). A Framework for the Computational Linguistic Analysis of Dehumanization. Frontiers in Artificial Intelligence, 3, 55.
Reisenzein, R., Studtmann, M., y Horstmann, G. (2013). Coherence between Emotion and Facial Expression: Evidence from Laboratory Experiments. Emotion Review, 5(1), 16–23.
Sap, M., Swayamdipta, S., Viswanathan, L., Zhou, X., Choi, Y., y Smith, N. A. (2017). Connotation Frames of Power and Agency in Modern Films. Proceedings of EMNLP 2017, 2971–2976.
Sen, S., Singh, G., y Varshney, P. (2024). Deception detection using machine learning: A systematic review and transfer learning limitations from low-stakes to high-stakes. Expert Systems with Applications, 213, 119048.
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OpenFace 3.0 (Baltrusaitis et al., 2025) para Catatumbo, Casanare, Dabeiba y Huila; MediaPipe FaceLandmarker (Lugaresi et al., 2023) para Costa Caribe. </w:t>
      </w:r>
      <w:r>
        <w:rPr>
          <w:rFonts w:ascii="Times New Roman" w:cs="Times New Roman" w:eastAsia="Times New Roman" w:hAnsi="Times New Roman"/>
          <w:color w:val="000000"/>
          <w:sz w:val="24"/>
          <w:szCs w:val="24"/>
        </w:rPr>
        <w:t xml:space="preserve">OpenFace 3.0 (Baltrusaitis et al., 2025) para Catatumbo, Casanare, Dabeiba y Huila; MediaPipe FaceLandmarker (Lugaresi et al., 2023) para Costa Caribe v0.10 (Lugaresi et al., 2023) extrae 52 blendshapes faciales por frame en modo IMAGE. Por segmento diarizado se muestrean hasta 20 frames y se calcula la media de cada blendshape.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25% Dabeiba, 20% Huila) según el ángulo y distancia de la cámara — limitación metodológica reportada explícitamente.</w:t>
      </w:r>
    </w:p>
    <w:p>
      <w:pPr>
        <w:spacing w:after="200" w:line="360" w:lineRule="auto"/>
        <w:ind w:firstLine="720"/>
        <w:jc w:val="both"/>
      </w:pPr>
      <w:r>
        <w:rPr>
          <w:sz w:val="24"/>
          <w:szCs w:val="24"/>
        </w:rPr>
        <w:t xml:space="preserve">Una limitación metodológica crítica de OpenFace 3.0 (Baltrusaitis et al., 2025) para Catatumbo, Casanare, Dabeiba y Huila; MediaPipe FaceLandmarker (Lugaresi et al., 2023) para Costa Caribe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más performativo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más genuino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OpenFace 3.0 (Baltrusaitis et al., 2025) para Catatumbo, Casanare, Dabeiba y Huila; MediaPipe FaceLandmarker (Lugaresi et al., 2023) para Costa Caribe. ICM facial = distress/(distress+sonrisa). Mayor ICM score = reconocimiento más genuino.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extractor eGeMAPS (Eyben et al., 2016) producirá 88 features acústicas por segmento: F0, jitter, shimmer, alpha ratio, speech rate, duración de pausas. Los marcadores más relevantes para el ICM vocal son shimmer (quiebre de voz) y pausas largas (carga cognitiva). Completado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 verbal (ConfliBERT REP score), vocal (eGeMAPS pendiente), facial (MediaPipe AUs) — en un índice de genuinidad. La versión implementada calcula ICM facial = distress_medio / (distress_medio + sonrisa_media), donde distress_medio = (AU1 + AU4 + AU15) / 3. Valores más altos indican mayor congruencia entre el reconocimiento verbal y la expresión facial de distress — reconocimiento genuino. Valores más bajos indican dominancia de la sonrisa — reconocimiento performativo.</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
El tamaño de efecto (Cohen's d) calculado sobre N_B=214 secciones confirma la robustez de los hallazgos principales: y₁₀ REP muestra el efecto más grande (d=0.514, p&lt;0.001), seguido por el DIS sintético (d=0.335, p&lt;0.001) e y₂ SA (d=0.257, p=0.023). El indicador y₄ NV no alcanza significación individual (d=0.324, p=0.354 n.s.), coherente con el hallazgo de §5.2.4 sobre la coexistencia de NV y REP por metalenguaje citativo en el Corpus B. Según la escala de Cohen (1988), los efectos de REP (d=0.514) y DIS (d=0.335) son efectos medianos — sustancialmente interpretables en el contexto del análisis de corpus judiciales.
Para evaluar la robustez de los pesos del DIS Score, se realizó un análisis de sensibilidad sobre 171 combinaciones sistemáticas de pesos (paso Δ=0.05, condición w_SA + w_NV + w_REP = 1.0). El 43.3% de las combinaciones (74/171) produce separación estadísticamente significativa A vs B (p&lt;0.05), con un d_cohen máximo de 0.496. Los pesos teóricos habermasianos (w_SA=0.35, w_NV=0.35, w_REP=0.30) producen d=0.204, dentro del rango de variación estable. Este resultado indica que el hallazgo A vs B no depende de la especificación exacta de los pesos sino que refleja una diferencia estructural entre los dos sistemas de justicia.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General, subcaso Casanare (letrero JEP en pantalla); SPEAKER_03 Catatumbo = Capitán, subcaso Catatumbo; SPEAKER_01 Dabeiba = compareciente oficial (contenido textual); SPEAKER_06+07+08 Huila = soldados y suboficiales incluyendo a suboficial, subcaso Huila.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General, subcaso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Capitán, subcaso Catatumbo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(suboficial, subcaso Huila+)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mayor congruencia multimodal.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General, subcaso Casanare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General (Casanare) tiene el AU12 más alto (0.091) — mayor sonrisa — y el AU4 más bajo (0.076) — menor ceño. Este perfil de alta sonrisa y bajo ceño, en el contexto de un reconocimiento de responsabilidad por asesinato de civiles, es el más consistente con un patrón de baja congruencia multimodal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ICM disponible con N=32 frames (MediaPipe FaceLandmarker).</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General, subcaso Casanare)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subcaso Catatumbo)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(suboficial, subcaso Huila y otros) presenta el mayor y₁₀ REP (0.147) y la menor distancia MAFAPO (y₈=0.186) del corpus C — es el subcaso semánticamente más cercano al lenguaje de las víctimas, con ICM tri-canal 0.453.
Costa Caribe (12 comparecientes, Batallón La Popa) tiene ICM disponible con N=32 frames procesados con MediaPipe FaceLandmarker — cobertura notablemente menor que los demás subcasos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pStyle w:val="Normal"/>
      </w:pPr>
      <w:r>
        <w:rPr/>
        <w:t xml:space="preserve">H_ICM_B — congruencia injusta tri-canal: Catatumbo y Costa Caribe presentan cong_injusta=True. Los tres canales convergen simultáneamente en la dirección del no-reconocimiento. En Catatumbo, esta congruencia tri-canal injusta coexiste con DIS=0.110 — el más bajo del corpus. El Capitán, subcaso Catatumbo habla sin distorsiones habermasianas en el canal gramatical, pero los tres canales — incluido el verbal — no producen alta congruencia multimodal. Esta es la forma de injusticia epistémica que Fricker (2007) identifica pero el análisis verbal solo no puede detectar: una congruencia tri-canal en la dirección del no-reconocimiento, sin violencia gramatical explícita.</w:t>
      </w:r>
    </w:p>
    <w:p>
      <w:pPr>
        <w:pStyle w:val="Normal"/>
      </w:pPr>
      <w:r>
        <w:rPr/>
        <w:t xml:space="preserve">Los resultados del ICM revelan dos patrones que corresponden a las hipótesis trimodales del framework. H_ICM_A confirmada parcialmente: la correlación entre el DIS Score y la disociación tri-canal es rho(DIS, dis_tri)=+0.90. Los subcasos con mayor injusticia discursiva activa — Casanare (dis_tri=0.109) y Dabeiba (dis_tri=0.079) — muestran mayor tensión entre lo que se dice verbalmente y lo que los canales no-verbales expresan. En Casanare, vocal (0.635) y facial (0.496) muestran más señales de distress que el canal verbal (0.368). La correlación con el IEI es rho=-0.10, no significativa: la injusticia epistémica no se manifiesta como disociación entre canales sino como congruencia.</w:t>
      </w:r>
    </w:p>
    <w:p>
      <w:pPr>
        <w:pStyle w:val="Heading 3"/>
      </w:pPr>
      <w:r>
        <w:rPr/>
        <w:t xml:space="preserve">§5.13.3 Interpretación del ICM tri-canal — hipótesis trimodales</w:t>
      </w:r>
    </w:p>
    <w:p>
      <w:pPr>
        <w:pStyle w:val="Normal"/>
      </w:pPr>
      <w:r>
        <w:rPr/>
        <w:t xml:space="preserve">La robustez de los valores DIS e IEI de la Tabla 5.14 fue verificada mediante análisis de sensibilidad. La condición IEI&gt;DIS de Catatumbo se mantiene en el 100% de 141 combinaciones de pesos plausibles evaluadas para el DIS Score. La condición de máxima disociación DIS-IEI de Catatumbo se mantiene en el 85% de las combinaciones. Estos resultados confirman que el hallazgo central no es un artefacto de la especificación de pesos.</w:t>
      </w:r>
    </w:p>
    <w:p>
      <w:pPr>
        <w:pStyle w:val="Heading 3"/>
      </w:pPr>
      <w:r>
        <w:rPr/>
        <w:t xml:space="preserve">§5.13.2 Análisis de parsimonia — robustez de la Tabla 5.14</w:t>
      </w:r>
    </w:p>
    <w:p>
      <w:pPr>
        <w:pStyle w:val="Normal"/>
      </w:pPr>
      <w:r>
        <w:rPr/>
        <w:t xml:space="preserve">El subcaso Costa Caribe (Batallón La Popa, 12 comparecientes) fue incorporado al análisis ICM con la diarización completada el 01/06/2026 (10.46 horas, 5,717 segmentos, SPEAKER_00=44.7 minutos). Los valores ICM v5 son: icm_vocal=0.465, icm_facial=0.104 (43% detección), icm_verbal=0.132, dis_tri=0.012, cong_injusta=True. DIS=0.464, IEI=0.231. El perfil es CONGRUENTE INJUSTO — similar a Catatumbo, con los tres canales convergiendo en la dirección del no-reconocimiento.</w:t>
      </w:r>
    </w:p>
    <w:p>
      <w:pPr>
        <w:pStyle w:val="Heading 3"/>
      </w:pPr>
      <w:r>
        <w:rPr/>
        <w:t xml:space="preserve">§5.13.1 Costa Caribe — actualización v2 (01/06/2026)</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subcaso Catatumbo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subcaso Catatumbo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(General, subcaso Casanare)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jc w:val="both"/>
        <w:spacing w:after="160" w:line="340"/>
      </w:pPr>
      <w:r>
        <w:rPr>
          <w:sz w:val="24"/>
          <w:szCs w:val="24"/>
          <w:b/>
          <w:color w:val="0D2137"/>
        </w:rPr>
        <w:t xml:space="preserve">5.14 Indicadores Beach (2021): y₁₂ registro léxico, y₁₃ verbos atributivos, y₁₄ evidenciales</w:t>
      </w:r>
    </w:p>
    <w:p>
      <w:pPr>
        <w:jc w:val="both"/>
        <w:spacing w:after="160" w:line="340"/>
      </w:pPr>
      <w:r>
        <w:rPr>
          <w:sz w:val="22"/>
          <w:szCs w:val="22"/>
        </w:rPr>
        <w:t xml:space="preserve">Tabla 5.15. y₁₂, y₁₃, y₁₄ — Beach et al. (2021) adaptado al español jurídico. A: n=777 bloques (50 docs). B: n=315 bloques. C: n=150 bloques (5 subcasos). Corpus A: y₁₂=0.136, y₁₃=0.270, y₁₄=0.557 | Corpus B: y₁₂=0.479, y₁₃=0.058, y₁₄=0.503 | Corpus C: y₁₂_v2=ver subcasos, y₁₃=0.103, y₁₄=0.503. Todos significativos p&lt;0.001 (Mann-Whitney U bilateral A vs B).</w:t>
      </w:r>
    </w:p>
    <w:p>
      <w:pPr>
        <w:jc w:val="both"/>
        <w:spacing w:after="160" w:line="340"/>
      </w:pPr>
      <w:r>
        <w:rPr>
          <w:sz w:val="22"/>
          <w:szCs w:val="22"/>
        </w:rPr>
        <w:t xml:space="preserve">Los tres indicadores de Beach et al. (2021) —quotes sospechosos (y₁₂), verbos atributivos (y₁₃) y evidenciales (y₁₄)— operacionalizan la injusticia testimonial en el nivel léxico-sintáctico, complementando los indicadores semánticos y₈/y₉ que operacionalizan la injusticia hermenéutica. Los tres son estadísticamente significativos A vs B (p&lt;0.001 Mann-Whitney U bilateral).</w:t>
      </w:r>
    </w:p>
    <w:p>
      <w:pPr>
        <w:jc w:val="both"/>
        <w:spacing w:after="160" w:line="340"/>
      </w:pPr>
      <w:r>
        <w:rPr>
          <w:sz w:val="22"/>
          <w:szCs w:val="22"/>
        </w:rPr>
        <w:t xml:space="preserve">El hallazgo más robusto es y₁₃ verbos atributivos: A=0.270 vs B=0.058 (4.6× mayor en justicia ordinaria). La justicia ordinaria usa significativamente más verbos de baja credibilidad —"alegó", "pretendió", "adujo", "supuestamente"— para referirse a declaraciones de las víctimas, mientras la JEP escrita adopta un registro más neutro-alto. Este resultado es coherente con la injusticia testimonial descrita por Fricker (2007): el léxico atributivo de la justicia ordinaria incorpora el credibility discount directamente en la gramática del relato judicial.</w:t>
      </w:r>
    </w:p>
    <w:p>
      <w:pPr>
        <w:jc w:val="both"/>
        <w:spacing w:after="160" w:line="340"/>
      </w:pPr>
      <w:r>
        <w:rPr>
          <w:sz w:val="22"/>
          <w:szCs w:val="22"/>
        </w:rPr>
        <w:t xml:space="preserve">y₁₂ quotes: A=0.136 vs B=0.479. El Corpus B cita directamente más que el Corpus A, lo que refleja la práctica JEP de transcribir testimonios de comparecientes y víctimas. Para el Corpus C oral, y₁₂ se operacionaliza como registro léxico MAFAPO vs militar (y₁₂_v2), dado que las transcripciones automáticas (Whisper) no preservan marcadores tipográficos de cita. Los resultados por subcaso revelan: Dabeiba (prop_MAFAPO=0.821) y Catatumbo (0.736) usan más vocabulario del campo semántico de las víctimas que Casanare (0.416), que tiene la mayor densidad de vocabulario militar del corpus C (398 palabras militares vs 201 MAFAPO).</w:t>
      </w:r>
    </w:p>
    <w:p>
      <w:pPr>
        <w:jc w:val="both"/>
        <w:spacing w:after="160" w:line="340"/>
      </w:pPr>
      <w:r>
        <w:rPr>
          <w:sz w:val="22"/>
          <w:szCs w:val="22"/>
        </w:rPr>
        <w:t xml:space="preserve">El hallazgo más importante de y₁₂_v2 es la disociación de dos niveles en Catatumbo: prop_MAFAPO=0.736 (segundo más alto — usa vocabulario de víctimas en superficie) pero y₈=0.207 (el más distante semánticamente del corpus C). El Capitán, subcaso Catatumbo usa las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 Esta disociación léxico-semántica es el hallazgo más sofisticado del análisis verbal del Corpus C.</w:t>
      </w:r>
    </w:p>
    <w:p>
      <w:pPr>
        <w:jc w:val="both"/>
        <w:spacing w:after="160" w:line="340"/>
      </w:pPr>
      <w:r>
        <w:rPr>
          <w:sz w:val="24"/>
          <w:szCs w:val="24"/>
          <w:b/>
          <w:color w:val="0D2137"/>
        </w:rPr>
        <w:t xml:space="preserve">5.15 ICM tri-canal v2 — canal verbal mejorado con y₁₂</w:t>
      </w:r>
    </w:p>
    <w:p>
      <w:pPr>
        <w:jc w:val="both"/>
        <w:spacing w:after="160" w:line="340"/>
      </w:pPr>
      <w:r>
        <w:rPr>
          <w:sz w:val="22"/>
          <w:szCs w:val="22"/>
        </w:rPr>
        <w:t xml:space="preserve">Tabla 5.16. ICM tri-canal v2 por subcaso. ICM_verbal_v2 = 0.60×ICM_verbal_v1(y₈) + 0.40×y₁₂_prop_MAFAPO. ICM_tri_v2 = 0.40×facial + 0.40×vocal + 0.20×verbal_v2. Casanare: Tri_v2=0.355 | Catatumbo: Tri_v2=0.295 | Dabeiba: Tri_v2=0.490 | Huila: Tri_v2=0.421.</w:t>
      </w:r>
    </w:p>
    <w:p>
      <w:pPr>
        <w:jc w:val="both"/>
        <w:spacing w:after="160" w:line="340"/>
      </w:pPr>
      <w:r>
        <w:rPr>
          <w:sz w:val="22"/>
          <w:szCs w:val="22"/>
        </w:rPr>
        <w:t xml:space="preserve">El ICM tri-canal v2 integra la dimensión léxico-superficial (y₁₂) con la dimensión semántico-profunda (y₈) en el canal verbal. El ranking se mantiene respecto a la v1: Catatumbo sigue siendo el subcaso de menor congruencia tri-canal (0.295), Dabeiba el mayor (0.490). Sin embargo, Catatumbo sube de 0.236 a 0.295 porque y₁₂ reconoce que el Capitán, subcaso Catatumbo sí usa vocabulario de víctimas en superficie —matiz que la v1 no capturaba. La mejora es metodológicamente importante: el ICM_verbal_v2 distingue entre adoptar el vocabulario (y₁₂ alto) y adoptar la semántica profunda (y₈ bajo), dos dimensiones de la corrección hermenéutica que pueden disociarse —como ocurre paradigmáticamente en Catatumbo.</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 El análisis de tamaño de efecto (Cohen's d, N_B=214) confirma la magnitud sustantiva de los hallazgos: y₁₀ REP muestra el efecto más grande (d=0.514, p&lt;0.001), el DIS sintético (d=0.335, p&lt;0.001) e y₂ SA (d=0.257, p=0.023) presentan efectos medianos según la escala de Cohen (1988). El único indicador no significativo es y₄ NV (d=0.324, p=0.354 n.s.), explicado por el metalenguaje citativo del Corpus B (§6.1.4).</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subcaso Casanare tiene consistentemente el ICM más bajo (0.190) — mayor sonrisa (AU12=0.091) y menor ceño (AU4=0.076) que cualquier otro compareciente del corpus. Este perfil facial es el más consistente con baja congruencia multimodal: General, subcaso Casanare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subcaso Casanare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subcaso Catatumbo,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subcaso Casanare)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subcaso Catatumbo)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subcaso Catatumbo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fue incorporado al análisis con diarización completada el 01/06/2026 (10.46h, 5,717 segmentos). ICM_tri=0.171, cong_injusta=True. El análisis del Corpus C cubre ahora los 5/5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procesado con MediaPipe FaceLandmarker con N=32 frames disponibles — cobertura notablemente menor que los demás subcasos (40–93%); el análisis textual y de diarización sí fue completado (588 bloques). Una segunda limitación metodológica es la normalización por percentil del propio corpus: los indicadores y₂–y₄ e y₁₀ se normalizan usando los percentiles de la distribución interna del corpus A+B, lo que los hace dependientes del tamaño y composición del corpus y limita su comparabilidad estricta con corpus externos. Esta limitación afecta principalmente la comparación entre el corpus original y cualquier extensión futura del análisis, pero no invalida la comparación interna A vs B que es el objeto central de la investigación.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análisis complementario de Cohen's d (N_B=214) reporta efectos medianos para los indicadores principales (REP d=0.514, DIS d=0.335), lo que proporciona una medida de la magnitud práctica de los hallazgos independiente de los supuestos de independencia del Mann-Whitney U.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Buolamwini, J., y Gebru, T. (2018). Gender Shades: Intersectional Accuracy Disparities in Commercial Gender Classification. Proceedings of Machine Learning Research, 81, 1–15.
Crivelli, C., y Fridlund, A. J. (2018). Facial Displays Are Tools for Social Influence. Trends in Cognitive Sciences, 22(5), 388–399.
Reisenzein, R., Studtmann, M., y Horstmann, G. (2013). Coherence between Emotion and Facial Expression: Evidence from Laboratory Experiments. Emotion Review, 5(1), 16–23.
Sen, S., Singh, G., y Varshney, P. (2024). Deception detection using machine learning: A systematic review and transfer learning limitations from low-stakes to high-stakes. Expert Systems with Applications, 213, 119048.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2026-04-11T16:07:25.087Z</dcterms:created>
  <dcterms:modified xsi:type="dcterms:W3CDTF">2026-04-11T16:07:25.088Z</dcterms:modified>
</cp:coreProperties>
</file>

<file path=docProps/custom.xml><?xml version="1.0" encoding="utf-8"?>
<Properties xmlns="http://schemas.openxmlformats.org/officeDocument/2006/custom-properties" xmlns:vt="http://schemas.openxmlformats.org/officeDocument/2006/docPropsVTypes"/>
</file>