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480"/>
        <w:outlineLvl w:val="0"/>
      </w:pPr>
      <w:r>
        <w:rPr>
          <w:rFonts w:ascii="Times New Roman" w:cs="Times New Roman" w:eastAsia="Times New Roman" w:hAnsi="Times New Roman"/>
          <w:b/>
          <w:bCs/>
          <w:color w:val="0D2137"/>
          <w:sz w:val="28"/>
          <w:szCs w:val="28"/>
        </w:rPr>
        <w:t xml:space="preserve">6. Discusión y conclusiones</w:t>
      </w:r>
    </w:p>
    <w:p>
      <w:pPr>
        <w:spacing w:after="200" w:line="360" w:lineRule="auto"/>
        <w:ind w:firstLine="720"/>
        <w:jc w:val="both"/>
      </w:pPr>
      <w:r>
        <w:rPr>
          <w:rFonts w:ascii="Times New Roman" w:cs="Times New Roman" w:eastAsia="Times New Roman" w:hAnsi="Times New Roman"/>
          <w:color w:val="000000"/>
          <w:sz w:val="24"/>
          <w:szCs w:val="24"/>
        </w:rPr>
        <w:t xml:space="preserve">Este capítulo discute el significado de los hallazgos empíricos en relación con las hipótesis del marco teórico, responde los cuestionamientos metodológicos anticipados, analiza las limitaciones de la investigación, propone líneas de trabajo futuro y formula las conclusiones de la tesis.</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6.1 Discusión de los hallazgos</w:t>
      </w:r>
    </w:p>
    <w:p>
      <w:pPr>
        <w:pStyle w:val="Heading3"/>
        <w:spacing w:after="140" w:before="280"/>
        <w:outlineLvl w:val="2"/>
      </w:pPr>
      <w:r>
        <w:rPr>
          <w:rFonts w:ascii="Times New Roman" w:cs="Times New Roman" w:eastAsia="Times New Roman" w:hAnsi="Times New Roman"/>
          <w:b/>
          <w:bCs/>
          <w:i/>
          <w:iCs/>
          <w:color w:val="000000"/>
          <w:sz w:val="24"/>
          <w:szCs w:val="24"/>
        </w:rPr>
        <w:t xml:space="preserve">6.1.1 La brecha discursiva: confirmación parcial de H₃</w:t>
      </w:r>
    </w:p>
    <w:p>
      <w:pPr>
        <w:spacing w:after="200" w:line="360" w:lineRule="auto"/>
        <w:ind w:firstLine="720"/>
        <w:jc w:val="both"/>
      </w:pPr>
      <w:r>
        <w:rPr>
          <w:rFonts w:ascii="Times New Roman" w:cs="Times New Roman" w:eastAsia="Times New Roman" w:hAnsi="Times New Roman"/>
          <w:color w:val="000000"/>
          <w:sz w:val="24"/>
          <w:szCs w:val="24"/>
        </w:rPr>
        <w:t xml:space="preserve">El primer hallazgo central es que el REP Score del Corpus B (JEP, media=0.153) es significativamente mayor que el del Corpus A (justicia ordinaria, media=0.086), con una brecha de +0.067 y p&lt;0.001. Adicionalmente, el Corpus B está significativamente más cercano al lenguaje de MAFAPO (y₈: 0.191 vs 0.211, p&lt;0.001) y al lenguaje de la CIDH (y₉: 0.235 vs 0.254, p&lt;0.001). La convergencia de cuatro indicadores independientes con p&lt;0.001 en la misma dirección constituye evidencia robusta de la brecha discursiva entre los dos sistemas de justicia. El análisis de tamaño de efecto (Cohen's d, N_B=214) confirma la magnitud sustantiva de los hallazgos: y₁₀ REP muestra el efecto más grande (d=0.514, p&lt;0.001), el DIS sintético (d=0.335, p&lt;0.001) e y₂ SA (d=0.257, p=0.023) presentan efectos medianos según la escala de Cohen (1988). El único indicador no significativo es y₄ NV (d=0.324, p=0.354 n.s.), explicado por el metalenguaje citativo del Corpus B (§6.1.4).</w:t>
      </w:r>
    </w:p>
    <w:p>
      <w:pPr>
        <w:spacing w:after="200" w:line="360" w:lineRule="auto"/>
        <w:ind w:firstLine="720"/>
        <w:jc w:val="both"/>
      </w:pPr>
      <w:r>
        <w:rPr>
          <w:rFonts w:ascii="Times New Roman" w:cs="Times New Roman" w:eastAsia="Times New Roman" w:hAnsi="Times New Roman"/>
          <w:color w:val="000000"/>
          <w:sz w:val="24"/>
          <w:szCs w:val="24"/>
        </w:rPr>
        <w:t xml:space="preserve">El control temporal (§5.7.1) reveló un matiz importante: la brecha en REP léxico (y₁₀) y NV (y₄) no es significativa cuando se comparan documentos del mismo período histórico (A 2018-2023 vs B, p=0.139 y p=0.293 n.s.). Sin embargo, la brecha semántica profunda (y₈, y₉) persiste con p&lt;0.001 controlando el período. Esto indica que la cercanía al lenguaje de las víctimas y del DIH es una diferencia estructural entre los sistemas de justicia, no un artefacto temporal, mientras que la brecha en REP léxico es parcialmente explicada por la evolución temporal del lenguaje jurídico colombiano.</w:t>
      </w:r>
    </w:p>
    <w:p>
      <w:pPr>
        <w:pStyle w:val="Heading3"/>
        <w:spacing w:after="140" w:before="280"/>
        <w:outlineLvl w:val="2"/>
      </w:pPr>
      <w:r>
        <w:rPr>
          <w:rFonts w:ascii="Times New Roman" w:cs="Times New Roman" w:eastAsia="Times New Roman" w:hAnsi="Times New Roman"/>
          <w:b/>
          <w:bCs/>
          <w:i/>
          <w:iCs/>
          <w:color w:val="000000"/>
          <w:sz w:val="24"/>
          <w:szCs w:val="24"/>
        </w:rPr>
        <w:t xml:space="preserve">6.1.2 El predictor principal: distancia léxico-civil</w:t>
      </w:r>
    </w:p>
    <w:p>
      <w:pPr>
        <w:spacing w:after="200" w:line="360" w:lineRule="auto"/>
        <w:ind w:firstLine="720"/>
        <w:jc w:val="both"/>
      </w:pPr>
      <w:r>
        <w:rPr>
          <w:rFonts w:ascii="Times New Roman" w:cs="Times New Roman" w:eastAsia="Times New Roman" w:hAnsi="Times New Roman"/>
          <w:color w:val="000000"/>
          <w:sz w:val="24"/>
          <w:szCs w:val="24"/>
        </w:rPr>
        <w:t xml:space="preserve">El análisis de senderos (§5.7.2) produjo un hallazgo no anticipado por el marco teórico original: y₃ distancia léxico-civil es el predictor más fuerte de los tres outcomes de transición epistémica (β=−5.337 para REP, p&lt;0.001), con un efecto significativamente mayor que y₂ SA (β=+0.095) y y₄ NV (β=+0.058). Este resultado invierte la jerarquía teórica implícita del modelo CFH, donde los mecanismos de encubrimiento (EBI, SA, NV) eran considerados los predictores primarios de la brecha discursiva.</w:t>
      </w:r>
    </w:p>
    <w:p>
      <w:pPr>
        <w:spacing w:after="200" w:line="360" w:lineRule="auto"/>
        <w:ind w:firstLine="720"/>
        <w:jc w:val="both"/>
      </w:pPr>
      <w:r>
        <w:rPr>
          <w:rFonts w:ascii="Times New Roman" w:cs="Times New Roman" w:eastAsia="Times New Roman" w:hAnsi="Times New Roman"/>
          <w:color w:val="000000"/>
          <w:sz w:val="24"/>
          <w:szCs w:val="24"/>
        </w:rPr>
        <w:t xml:space="preserve">La interpretación sustantiva es que la transición epistémica opera principalmente a través del vocabulario de las víctimas — la adopción del léxico civil, de derechos humanos y de la experiencia de las víctimas — más que a través de la reducción de los mecanismos de encubrimiento. Esto es coherente con el marco de Fraser (1995): el reconocimiento como interlocutoras iguales se manifiesta primariamente en el lenguaje que se usa para referirse a las víctimas, no en la eliminación del vocabulario militar.</w:t>
      </w:r>
    </w:p>
    <w:p>
      <w:pPr>
        <w:pStyle w:val="Heading3"/>
        <w:spacing w:after="140" w:before="280"/>
        <w:outlineLvl w:val="2"/>
      </w:pPr>
      <w:r>
        <w:rPr>
          <w:rFonts w:ascii="Times New Roman" w:cs="Times New Roman" w:eastAsia="Times New Roman" w:hAnsi="Times New Roman"/>
          <w:b/>
          <w:bCs/>
          <w:i/>
          <w:iCs/>
          <w:color w:val="000000"/>
          <w:sz w:val="24"/>
          <w:szCs w:val="24"/>
        </w:rPr>
        <w:t xml:space="preserve">6.1.3 CFH-BERT v2: aprendizaje con datos escasos</w:t>
      </w:r>
    </w:p>
    <w:p>
      <w:pPr>
        <w:spacing w:after="200" w:line="360" w:lineRule="auto"/>
        <w:ind w:firstLine="720"/>
        <w:jc w:val="both"/>
      </w:pPr>
      <w:r>
        <w:rPr>
          <w:rFonts w:ascii="Times New Roman" w:cs="Times New Roman" w:eastAsia="Times New Roman" w:hAnsi="Times New Roman"/>
          <w:color w:val="000000"/>
          <w:sz w:val="24"/>
          <w:szCs w:val="24"/>
        </w:rPr>
        <w:t xml:space="preserve">CFH-BERT v2 demuestra que el esquema IO con weighted loss supera significativamente al BIO simple con datos escasos: F1 macro pasa de 0.27 a 0.58 con las mismas 100 anotaciones. La mejora más notable es en NV (F1: 0.04 → 0.32), confirmando que el weighted loss puede compensar el desbalance extremo de clases cuando los pesos se calibran correctamente. Este resultado es consistente con la literatura sobre few-shot NER en dominios especializados (Lee et al., 2020).</w:t>
      </w:r>
    </w:p>
    <w:p>
      <w:pPr>
        <w:spacing w:after="200" w:line="360" w:lineRule="auto"/>
        <w:ind w:firstLine="720"/>
        <w:jc w:val="both"/>
      </w:pPr>
      <w:r>
        <w:rPr>
          <w:rFonts w:ascii="Times New Roman" w:cs="Times New Roman" w:eastAsia="Times New Roman" w:hAnsi="Times New Roman"/>
          <w:color w:val="000000"/>
          <w:sz w:val="24"/>
          <w:szCs w:val="24"/>
        </w:rPr>
        <w:t xml:space="preserve">El contraste entre el aprendizaje efectivo de REP (F1=0.77) y el resultado modesto de NV (F1=0.32) ilumina una asimetría discursiva importante: el reconocimiento tiene patrones lingüísticos más estables y consistentes que la negación de victimización. El REP se realiza mediante fórmulas performativas relativamente acotadas, mientras que el NV se materializa en una diversidad de estrategias retóricas que requieren más datos para aprender.</w:t>
      </w:r>
    </w:p>
    <w:p>
      <w:pPr>
        <w:pStyle w:val="Heading3"/>
        <w:spacing w:after="140" w:before="280"/>
        <w:outlineLvl w:val="2"/>
      </w:pPr>
      <w:r>
        <w:rPr>
          <w:rFonts w:ascii="Times New Roman" w:cs="Times New Roman" w:eastAsia="Times New Roman" w:hAnsi="Times New Roman"/>
          <w:b/>
          <w:bCs/>
          <w:i/>
          <w:iCs/>
          <w:color w:val="000000"/>
          <w:sz w:val="24"/>
          <w:szCs w:val="24"/>
        </w:rPr>
        <w:t xml:space="preserve">6.1.4 El NV cuestionado y el metalenguaje citativo</w:t>
      </w:r>
    </w:p>
    <w:p>
      <w:pPr>
        <w:spacing w:after="200" w:line="360" w:lineRule="auto"/>
        <w:ind w:firstLine="720"/>
        <w:jc w:val="both"/>
      </w:pPr>
      <w:r>
        <w:rPr>
          <w:rFonts w:ascii="Times New Roman" w:cs="Times New Roman" w:eastAsia="Times New Roman" w:hAnsi="Times New Roman"/>
          <w:color w:val="000000"/>
          <w:sz w:val="24"/>
          <w:szCs w:val="24"/>
        </w:rPr>
        <w:t xml:space="preserve">La sección RECONOCIMIENTO del Corpus B presenta el REP más alto (0.191) pero también el NV más alto del Corpus B (0.316). Este aparente paradoja se explica por el metalenguaje citativo: los comparecientes citan el vocabulario NV original para refutarlo. La coexistencia de REP y NV en el mismo segmento — confirmada por el coeficiente positivo de NV sobre REP en el path analysis (β=+0.058, p=0.004) — es evidencia empírica de este fenómeno.</w:t>
      </w:r>
    </w:p>
    <w:p>
      <w:pPr>
        <w:pStyle w:val="Heading3"/>
        <w:spacing w:after="140" w:before="280"/>
        <w:outlineLvl w:val="2"/>
      </w:pPr>
      <w:r>
        <w:rPr>
          <w:rFonts w:ascii="Times New Roman" w:cs="Times New Roman" w:eastAsia="Times New Roman" w:hAnsi="Times New Roman"/>
          <w:b/>
          <w:bCs/>
          <w:i/>
          <w:iCs/>
          <w:color w:val="000000"/>
          <w:sz w:val="24"/>
          <w:szCs w:val="24"/>
        </w:rPr>
        <w:t xml:space="preserve">6.1.5 La supresión de agentividad como convención jurídica</w:t>
      </w:r>
    </w:p>
    <w:p>
      <w:pPr>
        <w:spacing w:after="200" w:line="360" w:lineRule="auto"/>
        <w:ind w:firstLine="720"/>
        <w:jc w:val="both"/>
      </w:pPr>
      <w:r>
        <w:rPr>
          <w:rFonts w:ascii="Times New Roman" w:cs="Times New Roman" w:eastAsia="Times New Roman" w:hAnsi="Times New Roman"/>
          <w:color w:val="000000"/>
          <w:sz w:val="24"/>
          <w:szCs w:val="24"/>
        </w:rPr>
        <w:t xml:space="preserve">El SA no difiere entre sistemas (p=0.934 n.s.) pero sí predice los outcomes de transición epistémica (β=+0.095 sobre REP, p&lt;0.001). Esto revela que la SA opera como convención del género textual jurídico en ambos sistemas, pero su magnitud varía de forma que coexiste con el reconocimiento — los documentos JEP tienen alta SA Y alto REP. Esta distinción entre SA encubridora y SA institucional-neutral es una contribución conceptual del proyecto CFH al análisis crítico del discurso jurídico.</w:t>
      </w:r>
    </w:p>
    <w:p>
      <w:pPr>
        <w:pStyle w:val="Heading3"/>
        <w:spacing w:after="140" w:before="280"/>
        <w:outlineLvl w:val="2"/>
      </w:pPr>
      <w:r>
        <w:rPr>
          <w:rFonts w:ascii="Times New Roman" w:cs="Times New Roman" w:eastAsia="Times New Roman" w:hAnsi="Times New Roman"/>
          <w:b/>
          <w:bCs/>
          <w:i/>
          <w:iCs/>
          <w:color w:val="000000"/>
          <w:sz w:val="24"/>
          <w:szCs w:val="24"/>
        </w:rPr>
        <w:t xml:space="preserve">6.1.6 Corpus C oral vs Corpus B escrito</w:t>
      </w:r>
    </w:p>
    <w:p>
      <w:pPr>
        <w:spacing w:after="200" w:line="360" w:lineRule="auto"/>
        <w:ind w:firstLine="720"/>
        <w:jc w:val="both"/>
      </w:pPr>
      <w:r>
        <w:rPr>
          <w:rFonts w:ascii="Times New Roman" w:cs="Times New Roman" w:eastAsia="Times New Roman" w:hAnsi="Times New Roman"/>
          <w:color w:val="000000"/>
          <w:sz w:val="24"/>
          <w:szCs w:val="24"/>
        </w:rPr>
        <w:t xml:space="preserve">El Corpus C (JEP oral, 38.1 horas) presenta un patrón asimétrico respecto al Corpus B escrito: la distancia MAFAPO (y₈) es idéntica en ambos (0.191), pero la distancia CIDH (y₉) es mayor en el oral (0.263) que en el escrito (0.235). El lenguaje de las audiencias orales es igualmente cercano al lenguaje de las víctimas pero más alejado del lenguaje técnico-jurídico del DIH. Esto es teóricamente coherente con Zehr (2002): los comparecientes hablan desde la experiencia vivida, no desde el derecho internacional humanitario. El análisis desagregado por hablante — mediante diarización con pyannote-audio — confirma que la voz de los magistrados es la que más se acerca al lenguaje del DIH, mientras que la voz de los comparecientes es la que más se acerca al lenguaje de MAFAPO.</w:t>
      </w:r>
    </w:p>
    <w:p>
      <w:pPr>
        <w:spacing w:after="200" w:line="360" w:lineRule="auto"/>
        <w:ind w:firstLine="720"/>
        <w:jc w:val="both"/>
      </w:pPr>
      <w:r>
        <w:rPr>
          <w:sz w:val="24"/>
          <w:szCs w:val="24"/>
        </w:rPr>
        <w:t xml:space="preserve">La tabla completa de los seis indicadores CFH para el Corpus C (Tabla 5.13) permite una comparación sistemática entre subcasos que ningún indicador individual puede ofrecer. El hallazgo más relevante para la teoría de la justicia transicional es que Dabeiba — el subcaso con mayor materialidad del acto de reconocimiento (49 fosas del cementerio Las Mercedes) — presenta el perfil de mayor congruencia discursiva multi-canal (ICM_tri=0.493), mientras Catatumbo — la primera audiencia del Macrocaso 003, descrita como catarsis colectiva — presenta el perfil de mayor tensión entre gramática directa y distancia semántica de las víctimas.</w:t>
      </w:r>
    </w:p>
    <w:p>
      <w:pPr>
        <w:spacing w:after="120"/>
      </w:pPr>
      <w:r>
        <w:rPr>
          <w:rFonts w:ascii="Times New Roman" w:cs="Times New Roman" w:eastAsia="Times New Roman" w:hAnsi="Times New Roman"/>
          <w:color w:val="000000"/>
          <w:sz w:val="24"/>
          <w:szCs w:val="24"/>
        </w:rPr>
        <w:t xml:space="preserve"/>
      </w:r>
    </w:p>
    <w:p>
      <w:pPr>
        <w:pStyle w:val="Heading3"/>
        <w:spacing w:after="140" w:before="280"/>
        <w:outlineLvl w:val="2"/>
      </w:pPr>
      <w:r>
        <w:rPr>
          <w:rFonts w:ascii="Times New Roman" w:cs="Times New Roman" w:eastAsia="Times New Roman" w:hAnsi="Times New Roman"/>
          <w:b/>
          <w:bCs/>
          <w:i/>
          <w:iCs/>
          <w:color w:val="000000"/>
          <w:sz w:val="24"/>
          <w:szCs w:val="24"/>
        </w:rPr>
        <w:t xml:space="preserve">6.1.7 El patrón de genuinidad facial — hallazgo Capa 3</w:t>
      </w:r>
    </w:p>
    <w:p>
      <w:pPr>
        <w:spacing w:after="200" w:line="360" w:lineRule="auto"/>
        <w:ind w:firstLine="720"/>
        <w:jc w:val="both"/>
      </w:pPr>
      <w:r>
        <w:rPr>
          <w:rFonts w:ascii="Times New Roman" w:cs="Times New Roman" w:eastAsia="Times New Roman" w:hAnsi="Times New Roman"/>
          <w:color w:val="000000"/>
          <w:sz w:val="24"/>
          <w:szCs w:val="24"/>
        </w:rPr>
        <w:t xml:space="preserve">El hallazgo de la Capa 3 multimodal es un patrón diferenciado de congruencia comunicativa entre subcasos, analizado mediante Action Units faciales con MediaPipe FaceLandmarker sobre los segmentos diarizados de los comparecientes en 4 de 5 audiencias del Corpus C, con detección optimizada (40-93% por audiencia).</w:t>
      </w:r>
    </w:p>
    <w:p>
      <w:pPr>
        <w:spacing w:after="200" w:line="360" w:lineRule="auto"/>
        <w:ind w:firstLine="720"/>
        <w:jc w:val="both"/>
      </w:pPr>
      <w:r>
        <w:rPr>
          <w:sz w:val="24"/>
          <w:szCs w:val="24"/>
        </w:rPr>
        <w:t xml:space="preserve">El hallazgo de la Capa 3 multimodal es un patrón diferenciado de congruencia comunicativa entre subcasos: General/Casanare (ICM=0.190) &lt; Capitán, subcaso Catatumbo/Catatumbo (ICM=0.272) &lt; Soldados/Huila (ICM=0.299) &lt; Oficial/Dabeiba (ICM=0.353). Es imprescindible declarar los límites epistemológicos de este hallazgo. Conforme a Barrett et al. (2019), no existe evidencia de que la culpa tenga un display facial discreto universalmente identificable. El ICM no mide sinceridad individual. La interpretación correcta es: el subcaso Casanare presenta el patrón de menor congruencia multimodal del corpus (ICM=0.190, dominancia AU12 sonrisa), mientras Dabeiba presenta el patrón de mayor congruencia (ICM=0.353, dominancia AU4 ceño fruncido). Esta diferencia correlaciona con la materialidad del acto de reconocimiento en cada subcaso —en Dabeiba se reconocieron 49 fosas físicamente recuperadas—, no con la sinceridad de los comparecientes. Adicionalmente, los modelos faciales no han sido auditados sobre rostros mestizos o afrocolombianos (Buolamwini y Gebru, 2018), limitando la generalización.</w:t>
      </w:r>
    </w:p>
    <w:p>
      <w:pPr>
        <w:spacing w:after="200" w:line="360" w:lineRule="auto"/>
        <w:ind w:firstLine="720"/>
        <w:jc w:val="both"/>
      </w:pPr>
      <w:r>
        <w:rPr>
          <w:i/>
          <w:sz w:val="20"/>
          <w:szCs w:val="20"/>
          <w:color w:val="2E4057"/>
        </w:rPr>
        <w:t xml:space="preserve">Barrett, L. F., Adolphs, R., Marsella, S., Martinez, A. M., y Pollak, S. D. (2019). Emotional Expressions Reconsidered: Challenges to Inferring Emotion From Human Facial Movements. Psychological Science in the Public Interest, 20(1), 1–68.</w:t>
      </w:r>
    </w:p>
    <w:p>
      <w:pPr>
        <w:spacing w:after="200" w:line="360" w:lineRule="auto"/>
        <w:ind w:firstLine="720"/>
        <w:jc w:val="both"/>
      </w:pPr>
      <w:r>
        <w:rPr>
          <w:i/>
          <w:sz w:val="20"/>
          <w:szCs w:val="20"/>
          <w:color w:val="2E4057"/>
        </w:rPr>
        <w:t xml:space="preserve">Crivelli, C., y Fridlund, A. J. (2018). Facial Displays Are Tools for Social Influence. Trends in Cognitive Sciences, 22(5), 388–399.</w:t>
      </w:r>
    </w:p>
    <w:p>
      <w:pPr>
        <w:spacing w:after="200" w:line="360" w:lineRule="auto"/>
        <w:ind w:firstLine="720"/>
        <w:jc w:val="both"/>
      </w:pPr>
      <w:r>
        <w:rPr>
          <w:i/>
          <w:sz w:val="20"/>
          <w:szCs w:val="20"/>
          <w:color w:val="2E4057"/>
        </w:rPr>
        <w:t xml:space="preserve">Reisenzein, R., Studtmann, M., y Horstmann, G. (2013). Coherence between Emotion and Facial Expression: Evidence from Laboratory Experiments. Emotion Review, 5(1), 16–23.</w:t>
      </w:r>
    </w:p>
    <w:p>
      <w:pPr>
        <w:spacing w:after="200" w:line="360" w:lineRule="auto"/>
        <w:ind w:firstLine="720"/>
        <w:jc w:val="both"/>
      </w:pPr>
      <w:r>
        <w:rPr>
          <w:i/>
          <w:sz w:val="20"/>
          <w:szCs w:val="20"/>
          <w:color w:val="2E4057"/>
        </w:rPr>
        <w:t xml:space="preserve">Buolamwini, J., y Gebru, T. (2018). Gender Shades: Intersectional Accuracy Disparities in Commercial Gender Classification. Proceedings of Machine Learning Research, 81, 1–15.</w:t>
      </w:r>
    </w:p>
    <w:p>
      <w:pPr>
        <w:spacing w:after="200" w:line="360" w:lineRule="auto"/>
        <w:ind w:firstLine="720"/>
        <w:jc w:val="both"/>
      </w:pPr>
      <w:r>
        <w:rPr>
          <w:i/>
          <w:sz w:val="20"/>
          <w:szCs w:val="20"/>
          <w:color w:val="2E4057"/>
        </w:rPr>
        <w:t xml:space="preserve">Sen, S., Singh, G., y Varshney, P. (2024). Deception detection using machine learning: A systematic review and transfer learning limitations from low-stakes to high-stakes. Expert Systems with Applications, 213, 119048.</w:t>
      </w:r>
    </w:p>
    <w:p>
      <w:pPr>
        <w:spacing w:after="200" w:line="360" w:lineRule="auto"/>
        <w:ind w:firstLine="720"/>
        <w:jc w:val="both"/>
      </w:pPr>
      <w:r>
        <w:rPr>
          <w:rFonts w:ascii="Times New Roman" w:cs="Times New Roman" w:eastAsia="Times New Roman" w:hAnsi="Times New Roman"/>
          <w:color w:val="000000"/>
          <w:sz w:val="24"/>
          <w:szCs w:val="24"/>
        </w:rPr>
        <w:t xml:space="preserve">La hipótesis inicial de un gradiente simple por rango militar — a menor rango, mayor congruencia multimodal — no se confirma completamente: Dabeiba tiene el ICM más alto a pesar de que sus comparecientes son oficiales de rango medio (coroneles y tenientes coroneles), mientras que los soldados rasos de Huila tienen ICM=0.299. Una interpretación más robusta es por materialidad del subcaso: Dabeiba es el contexto más físicamente concreto del corpus — los comparecientes guiaron personalmente a los investigadores a 49 fosas en el cementerio Las Mercedes de Dabeiba, donde se recuperaron los cuerpos de las víctimas. Esta materialidad puede generar mayor distress facial independientemente del rango, al activar memorias episódicas del acto criminal concreto en lugar de una narrativa institucional abstracta.</w:t>
      </w:r>
    </w:p>
    <w:p>
      <w:pPr>
        <w:spacing w:after="200" w:line="360" w:lineRule="auto"/>
        <w:ind w:firstLine="720"/>
        <w:jc w:val="both"/>
      </w:pPr>
      <w:r>
        <w:rPr>
          <w:rFonts w:ascii="Times New Roman" w:cs="Times New Roman" w:eastAsia="Times New Roman" w:hAnsi="Times New Roman"/>
          <w:color w:val="000000"/>
          <w:sz w:val="24"/>
          <w:szCs w:val="24"/>
        </w:rPr>
        <w:t xml:space="preserve">Lo que sí se confirma es el extremo inferior del patrón: el General, subcaso Casanare tiene consistentemente el ICM más bajo (0.190) — mayor sonrisa (AU12=0.091) y menor ceño (AU4=0.076) que cualquier otro compareciente del corpus. Este perfil facial es el más consistente con baja congruencia multimodal: General, subcaso Casanare es el compareciente de mayor rango del corpus, con mayor experiencia en comunicación institucional y mayor incentivo para proteger su imagen ante la comunidad internacional. En el extremo opuesto, Dabeiba presenta el mayor distress relativo (AU4=0.371) con la menor sonrisa entre las audiencias con buena detección.</w:t>
      </w:r>
    </w:p>
    <w:p>
      <w:pPr>
        <w:spacing w:after="200" w:line="360" w:lineRule="auto"/>
        <w:ind w:firstLine="720"/>
        <w:jc w:val="both"/>
      </w:pPr>
      <w:r>
        <w:rPr>
          <w:sz w:val="24"/>
          <w:szCs w:val="24"/>
        </w:rPr>
        <w:t xml:space="preserve">El canal prosódico (ICM vocal) confirma y matiza el hallazgo facial. Dabeiba mantiene el patrón de mayor congruencia también en el canal vocal (ICM_vocal=0.452), mientras Casanare presenta una paradoja: su ICM vocal es alto (0.415, mayor shimmer del corpus=1.42 dB, indicando alta carga emocional prosódica) pero su ICM facial es el más bajo (0.190). Esta divergencia entre canales (Δ=0.225) es la más alta del corpus y el hallazgo más interpretativo de la Capa 3: la voz del General, subcaso Casanare comunica distress prosódico mientras su cara comunica sonrisa. Los dos canales apuntan en direcciones opuestas — el patrón más alejado de la congruencia multimodal en el corpus.</w:t>
      </w:r>
    </w:p>
    <w:p>
      <w:pPr>
        <w:spacing w:after="200" w:line="360" w:lineRule="auto"/>
        <w:ind w:firstLine="720"/>
        <w:jc w:val="both"/>
      </w:pPr>
      <w:r>
        <w:rPr>
          <w:sz w:val="24"/>
          <w:szCs w:val="24"/>
        </w:rPr>
        <w:t xml:space="preserve">El ICM tri-canal (0.40×facial + 0.40×vocal + 0.20×verbal) produce un ranking que difiere en un aspecto significativo del ICM facial: Catatumbo pasa de segundo a último lugar (0.236) porque su canal verbal es el más distante del lenguaje de MAFAPO (y₈=0.207). Este resultado sugiere que el Capitán, subcaso Catatumbo, pese a mostrar mayor congruencia facial-vocal, habla en la audiencia con el mayor distanciamiento semántico respecto al lenguaje de las víctimas — el canal que más importa para la reparación simbólica. Dabeiba consolida el primer lugar en ICM tri-canal (0.493): materialidad concreta del reconocimiento (49 fosas), alta congruencia prosódica y cercanía semántica a MAFAPO convergen en el patrón de mayor congruencia tri-canal del corpus.</w:t>
      </w:r>
    </w:p>
    <w:p>
      <w:pPr>
        <w:spacing w:after="200" w:line="360" w:lineRule="auto"/>
        <w:ind w:firstLine="720"/>
        <w:jc w:val="both"/>
      </w:pPr>
      <w:r>
        <w:rPr>
          <w:sz w:val="24"/>
          <w:szCs w:val="24"/>
        </w:rPr>
        <w:t xml:space="preserve">6.1.8 La disociación de canales como hallazgo central del Corpus C
El análisis integrado del Corpus C con los seis indicadores CFH (y₂, y₄, y₁₀, y₈, y₉ más ICM tri-canal) revela que la disociación entre canales discursivos es el patrón estructural dominante en las audiencias de reconocimiento JEP. En ningún subcaso todos los indicadores apuntan en la misma dirección simultaneamente.
Casanare (General, subcaso Casanare) presenta el perfil de mayor distancia discursiva multi-indicador: mayor y₂ SA (0.974), mayor y₄ NV (0.483) y segundo ICM_tri más bajo (0.375). La voz comunica distress prosódico alto (shimmer=1.42 dB, el mayor del corpus) mientras la cara comunica sonrisa (AU12=0.091, el mayor del corpus) — los canales apuntan en direcciones opuestas (Δ vocal-facial=0.225).
Catatumbo (Capitán, subcaso Catatumbo) produce el hallazgo más contraintuitivo: menor y₂ SA (0.532) y menor y₄ NV (0.220) — el discurso más gramaticalmente directo y con menor negación de victimización — pero ICM_tri más bajo del corpus (0.236) porque su canal semántico es el más distante del lenguaje de MAFAPO (y₈=0.207). Habla directamente pero habla lejos de las víctimas.
Dabeiba (Oficial) consolida el perfil de mayor congruencia: segundo menor y₄ NV (0.211), ICM facial más alto (0.353), ICM vocal más alto (0.452), ICM_tri más alto (0.493) y distancia MAFAPO baja (y₈=0.189). La materialidad del reconocimiento — 49 fosas físicamente recuperadas en el cementerio Las Mercedes — correlaciona con el perfil más coherente entre canales.
Huila (suboficial y otros) es el subcaso semánticamente más cercano a las víctimas: menor distancia MAFAPO (y₈=0.186) y mayor lenguaje reparatorio (y₁₀=0.147).
Esta disociación valida metodológicamente la arquitectura multi-capa del framework CFH: un análisis mono-canal hubiera producido conclusiones erróneas. El ICM tri-canal sintetiza la información de tres canales en un índice interpretativo que captura la coherencia discursiva global.</w:t>
      </w:r>
    </w:p>
    <w:p>
      <w:pPr>
        <w:spacing w:after="200" w:line="360" w:lineRule="auto"/>
        <w:ind w:firstLine="720"/>
        <w:jc w:val="both"/>
      </w:pPr>
      <w:r>
        <w:rPr>
          <w:rFonts w:ascii="Times New Roman" w:cs="Times New Roman" w:eastAsia="Times New Roman" w:hAnsi="Times New Roman"/>
          <w:color w:val="000000"/>
          <w:sz w:val="24"/>
          <w:szCs w:val="24"/>
        </w:rPr>
        <w:t xml:space="preserve">El subcaso Catatumbo presenta el AU15 más alto del corpus (0.011 — tristeza/dolor), coherente con ser la primera audiencia de reconocimiento de la JEP (26-27 abril 2022), descrita por la magistrada Catalina Díaz como una 'catarsis colectiva'. El AU15 elevado del Capitán, subcaso Catatumbo puede reflejar la intensidad emocional singular del primer encuentro público con las víctimas, sin el precedente institucional de audiencias anteriores.</w:t>
      </w:r>
    </w:p>
    <w:p>
      <w:pPr>
        <w:spacing w:after="200" w:line="360" w:lineRule="auto"/>
        <w:ind w:firstLine="720"/>
        <w:jc w:val="both"/>
      </w:pPr>
      <w:r>
        <w:rPr>
          <w:rFonts w:ascii="Times New Roman" w:cs="Times New Roman" w:eastAsia="Times New Roman" w:hAnsi="Times New Roman"/>
          <w:color w:val="000000"/>
          <w:sz w:val="24"/>
          <w:szCs w:val="24"/>
        </w:rPr>
        <w:t>Una limitación metodológica importante es que la baja detección facial en Dabeiba (40%) afecta la robustez de su ICM — los 168 segmentos detectados sobre 424 totales pueden no ser representativos. La validación del patrón requeriría mayor tasa de detección o una fuente de video alternativa. Costa Caribe (subcaso La Popa, julio 2022) fue incorporado al análisis con diarización completada el 01/06/2026 (10.46h, 5,717 segmentos). ICM_tri=0.171, cong_injusta=True. El análisis del Corpus C cubre ahora los 5/5 subcasos del Macrocaso 003.</w:t>
      </w:r>
    </w:p>
    <w:p>
      <w:pPr>
        <w:spacing w:after="200" w:line="360" w:lineRule="auto"/>
        <w:ind w:firstLine="720"/>
        <w:jc w:val="both"/>
      </w:pPr>
      <w:r>
        <w:rPr>
          <w:sz w:val="24"/>
          <w:szCs w:val="24"/>
        </w:rPr>
        <w:t xml:space="preserve">Una limitación metodológica crítica de MediaPipe FaceLandmarker es su sesgo de entrenamiento. Buolamwini y Gebru (2018) demostraron que los clasificadores de reconocimiento facial comerciales presentan tasas de error significativamente mayores en personas de piel oscura (hasta 34.7 puntos de diferencia). No existe auditoría pública de MediaPipe sobre rostros mestizos, afrocolombianos o indígenas. Los resultados de la Capa 3 facial deben interpretarse con esta limitación explícita, y una auditoría intersectional conforme al protocolo Gender Shades es una línea futura prioritaria.</w:t>
      </w:r>
    </w:p>
    <w:p>
      <w:pPr>
        <w:spacing w:after="200" w:line="360" w:lineRule="auto"/>
        <w:ind w:firstLine="720"/>
        <w:jc w:val="both"/>
      </w:pPr>
      <w:r>
        <w:rPr>
          <w:i/>
          <w:sz w:val="20"/>
          <w:szCs w:val="20"/>
          <w:color w:val="2E4057"/>
        </w:rPr>
        <w:t xml:space="preserve">Buolamwini, J., y Gebru, T. (2018). Gender Shades: Intersectional Accuracy Disparities in Commercial Gender Classification. Proceedings of Machine Learning Research, 81, 1–15.</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6.2 Respuesta a cuestionamientos anticipados</w:t>
      </w:r>
    </w:p>
    <w:p>
      <w:pPr>
        <w:pStyle w:val="Heading3"/>
        <w:spacing w:after="140" w:before="280"/>
        <w:outlineLvl w:val="2"/>
      </w:pPr>
      <w:r>
        <w:rPr>
          <w:rFonts w:ascii="Times New Roman" w:cs="Times New Roman" w:eastAsia="Times New Roman" w:hAnsi="Times New Roman"/>
          <w:b/>
          <w:bCs/>
          <w:i/>
          <w:iCs/>
          <w:color w:val="000000"/>
          <w:sz w:val="24"/>
          <w:szCs w:val="24"/>
        </w:rPr>
        <w:t xml:space="preserve">6.2.1 ¿La JEP está obligada por mandato a producir REP?</w:t>
      </w:r>
    </w:p>
    <w:p>
      <w:pPr>
        <w:spacing w:after="200" w:line="360" w:lineRule="auto"/>
        <w:ind w:firstLine="720"/>
        <w:jc w:val="both"/>
      </w:pPr>
      <w:r>
        <w:rPr>
          <w:rFonts w:ascii="Times New Roman" w:cs="Times New Roman" w:eastAsia="Times New Roman" w:hAnsi="Times New Roman"/>
          <w:color w:val="000000"/>
          <w:sz w:val="24"/>
          <w:szCs w:val="24"/>
        </w:rPr>
        <w:t xml:space="preserve">Si el REP del Corpus B fuera únicamente un artefacto del mandato normativo del Acto Legislativo 01 de 2017, debería distribuirse uniformemente en todas las secciones JEP. Sin embargo, la sección PATRONES_MACROCRIMINALES tiene REP=0.000 y la sección RECONOCIMIENTO tiene REP máximo=0.849. Esta heterogeneidad interna es incompatible con un artefacto normativo uniforme. Adicionalmente, el control temporal muestra que la brecha semántica (y₈, y₉) persiste incluso comparando documentos contemporáneos — lo que no podría explicarse por el mandato normativo.</w:t>
      </w:r>
    </w:p>
    <w:p>
      <w:pPr>
        <w:pStyle w:val="Heading3"/>
        <w:spacing w:after="140" w:before="280"/>
        <w:outlineLvl w:val="2"/>
      </w:pPr>
      <w:r>
        <w:rPr>
          <w:rFonts w:ascii="Times New Roman" w:cs="Times New Roman" w:eastAsia="Times New Roman" w:hAnsi="Times New Roman"/>
          <w:b/>
          <w:bCs/>
          <w:i/>
          <w:iCs/>
          <w:color w:val="000000"/>
          <w:sz w:val="24"/>
          <w:szCs w:val="24"/>
        </w:rPr>
        <w:t xml:space="preserve">6.2.2 ¿Los géneros textuales son comparables?</w:t>
      </w:r>
    </w:p>
    <w:p>
      <w:pPr>
        <w:spacing w:after="200" w:line="360" w:lineRule="auto"/>
        <w:ind w:firstLine="720"/>
        <w:jc w:val="both"/>
      </w:pPr>
      <w:r>
        <w:rPr>
          <w:rFonts w:ascii="Times New Roman" w:cs="Times New Roman" w:eastAsia="Times New Roman" w:hAnsi="Times New Roman"/>
          <w:color w:val="000000"/>
          <w:sz w:val="24"/>
          <w:szCs w:val="24"/>
        </w:rPr>
        <w:t xml:space="preserve">La incomparabilidad de géneros es el objeto de estudio, no una limitación (Swales, 1990; Bhatia, 1993). La CFH mide la distancia entre géneros como evidencia de la brecha discursiva. Adicionalmente, la varianza interna dentro del Corpus A — CE presenta mayor REP que CSJ (0.101 vs 0.059) pese a pertenecer al mismo sistema — indica que los extractores capturan variación semántica más allá de las diferencias de género.</w:t>
      </w:r>
    </w:p>
    <w:p>
      <w:pPr>
        <w:pStyle w:val="Heading3"/>
        <w:spacing w:after="140" w:before="280"/>
        <w:outlineLvl w:val="2"/>
      </w:pPr>
      <w:r>
        <w:rPr>
          <w:rFonts w:ascii="Times New Roman" w:cs="Times New Roman" w:eastAsia="Times New Roman" w:hAnsi="Times New Roman"/>
          <w:b/>
          <w:bCs/>
          <w:i/>
          <w:iCs/>
          <w:color w:val="000000"/>
          <w:sz w:val="24"/>
          <w:szCs w:val="24"/>
        </w:rPr>
        <w:t xml:space="preserve">6.2.3 ¿La brecha es temporal, no estructural?</w:t>
      </w:r>
    </w:p>
    <w:p>
      <w:pPr>
        <w:spacing w:after="200" w:line="360" w:lineRule="auto"/>
        <w:ind w:firstLine="720"/>
        <w:jc w:val="both"/>
      </w:pPr>
      <w:r>
        <w:rPr>
          <w:rFonts w:ascii="Times New Roman" w:cs="Times New Roman" w:eastAsia="Times New Roman" w:hAnsi="Times New Roman"/>
          <w:color w:val="000000"/>
          <w:sz w:val="24"/>
          <w:szCs w:val="24"/>
        </w:rPr>
        <w:t xml:space="preserve">El control temporal (§5.7.1) responde directamente: la brecha semántica profunda (y₈ MAFAPO y y₉ CIDH) es estructural — persiste con p&lt;0.001 comparando documentos del mismo período 2018-2023. La brecha en REP léxico es parcialmente temporal, lo que se reporta con transparencia como un matiz importante de los hallazgos.</w:t>
      </w:r>
    </w:p>
    <w:p>
      <w:pPr>
        <w:pStyle w:val="Heading3"/>
        <w:spacing w:after="140" w:before="280"/>
        <w:outlineLvl w:val="2"/>
      </w:pPr>
      <w:r>
        <w:rPr>
          <w:rFonts w:ascii="Times New Roman" w:cs="Times New Roman" w:eastAsia="Times New Roman" w:hAnsi="Times New Roman"/>
          <w:b/>
          <w:bCs/>
          <w:i/>
          <w:iCs/>
          <w:color w:val="000000"/>
          <w:sz w:val="24"/>
          <w:szCs w:val="24"/>
        </w:rPr>
        <w:t xml:space="preserve">6.2.4 ¿El SEM no converge?</w:t>
      </w:r>
    </w:p>
    <w:p>
      <w:pPr>
        <w:spacing w:after="200" w:line="360" w:lineRule="auto"/>
        <w:ind w:firstLine="720"/>
        <w:jc w:val="both"/>
      </w:pPr>
      <w:r>
        <w:rPr>
          <w:rFonts w:ascii="Times New Roman" w:cs="Times New Roman" w:eastAsia="Times New Roman" w:hAnsi="Times New Roman"/>
          <w:color w:val="000000"/>
          <w:sz w:val="24"/>
          <w:szCs w:val="24"/>
        </w:rPr>
        <w:t xml:space="preserve">El modelo SEM completo requiere y₇ como indicador de eta1 para ser identificable — esto es una limitación técnica reportada con transparencia, no un fracaso oculto. El path analysis exploratorio (CFI=0.619, RMSEA=0.437) es el mejor modelo estimable con los indicadores disponibles y produce coeficientes interpretables y estadísticamente significativos. El modelo SEM definitivo se estimará con y₇ una vez disponible CFH-BERT fine-tuned sobre el corpus anotado completo.</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6.3 Limitaciones de la investigación</w:t>
      </w:r>
    </w:p>
    <w:p>
      <w:pPr>
        <w:pStyle w:val="Heading3"/>
        <w:spacing w:after="140" w:before="280"/>
        <w:outlineLvl w:val="2"/>
      </w:pPr>
      <w:r>
        <w:rPr>
          <w:rFonts w:ascii="Times New Roman" w:cs="Times New Roman" w:eastAsia="Times New Roman" w:hAnsi="Times New Roman"/>
          <w:b/>
          <w:bCs/>
          <w:i/>
          <w:iCs/>
          <w:color w:val="000000"/>
          <w:sz w:val="24"/>
          <w:szCs w:val="24"/>
        </w:rPr>
        <w:t xml:space="preserve">6.3.1 Limitaciones del corpus</w:t>
      </w:r>
    </w:p>
    <w:p>
      <w:pPr>
        <w:spacing w:after="200" w:line="360" w:lineRule="auto"/>
        <w:ind w:firstLine="720"/>
        <w:jc w:val="both"/>
      </w:pPr>
      <w:r>
        <w:rPr>
          <w:rFonts w:ascii="Times New Roman" w:cs="Times New Roman" w:eastAsia="Times New Roman" w:hAnsi="Times New Roman"/>
          <w:color w:val="000000"/>
          <w:sz w:val="24"/>
          <w:szCs w:val="24"/>
        </w:rPr>
        <w:t>La principal limitación es el desequilibrio entre Corpus A (n=819) y Corpus B (n=2.678 bloques). El Corpus C (38.1 horas, 5 audiencias, 588 bloques) amplía el análisis al registro oral con diarización completada. Sin embargo, la tasa de detección facial varía significativamente entre audiencias (86% Casanare, 55% Catatumbo, 25% Dabeiba, 20% Huila) — lo que limita la comparabilidad inter-audiencia en el ICM. El canal facial del subcaso Costa Caribe (La Popa, julio 2022) no pudo ser procesado por restricciones DRM en el video fuente; el análisis textual y de diarización sí fue completado (588 bloques). Un segundo problema es la presencia de secciones mal etiquetadas en los metadatos originales, corregido en el pipeline.</w:t>
      </w:r>
    </w:p>
    <w:p>
      <w:pPr>
        <w:pStyle w:val="Heading3"/>
        <w:spacing w:after="140" w:before="280"/>
        <w:outlineLvl w:val="2"/>
      </w:pPr>
      <w:r>
        <w:rPr>
          <w:rFonts w:ascii="Times New Roman" w:cs="Times New Roman" w:eastAsia="Times New Roman" w:hAnsi="Times New Roman"/>
          <w:b/>
          <w:bCs/>
          <w:i/>
          <w:iCs/>
          <w:color w:val="000000"/>
          <w:sz w:val="24"/>
          <w:szCs w:val="24"/>
        </w:rPr>
        <w:t xml:space="preserve">6.3.2 Limitaciones de los extractores</w:t>
      </w:r>
    </w:p>
    <w:p>
      <w:pPr>
        <w:spacing w:after="200" w:line="360" w:lineRule="auto"/>
        <w:ind w:firstLine="720"/>
        <w:jc w:val="both"/>
      </w:pPr>
      <w:r>
        <w:rPr>
          <w:rFonts w:ascii="Times New Roman" w:cs="Times New Roman" w:eastAsia="Times New Roman" w:hAnsi="Times New Roman"/>
          <w:color w:val="000000"/>
          <w:sz w:val="24"/>
          <w:szCs w:val="24"/>
        </w:rPr>
        <w:t xml:space="preserve">Los extractores léxico-sintácticos y₂-y₄ e y₁₀ fueron construidos sin fine-tuning supervisado. CFH-BERT v2 mejora significativamente sobre v1 (F1 macro: 0.27 → 0.58) pero sigue siendo un modelo piloto con 100 anotaciones. La versión definitiva requiere κ&gt;0.80 sobre al menos 500 fragmentos. El extractor y₁ EBI mantiene score=0.0 en todos los documentos — el fine-tuning supervisado es la tarea técnica más crítica pendiente.</w:t>
      </w:r>
    </w:p>
    <w:p>
      <w:pPr>
        <w:pStyle w:val="Heading3"/>
        <w:spacing w:after="140" w:before="280"/>
        <w:outlineLvl w:val="2"/>
      </w:pPr>
      <w:r>
        <w:rPr>
          <w:rFonts w:ascii="Times New Roman" w:cs="Times New Roman" w:eastAsia="Times New Roman" w:hAnsi="Times New Roman"/>
          <w:b/>
          <w:bCs/>
          <w:i/>
          <w:iCs/>
          <w:color w:val="000000"/>
          <w:sz w:val="24"/>
          <w:szCs w:val="24"/>
        </w:rPr>
        <w:t xml:space="preserve">6.3.3 Limitaciones estadísticas</w:t>
      </w:r>
    </w:p>
    <w:p>
      <w:pPr>
        <w:spacing w:after="200" w:line="360" w:lineRule="auto"/>
        <w:ind w:firstLine="720"/>
        <w:jc w:val="both"/>
      </w:pPr>
      <w:r>
        <w:rPr>
          <w:rFonts w:ascii="Times New Roman" w:cs="Times New Roman" w:eastAsia="Times New Roman" w:hAnsi="Times New Roman"/>
          <w:color w:val="000000"/>
          <w:sz w:val="24"/>
          <w:szCs w:val="24"/>
        </w:rPr>
        <w:t xml:space="preserve">El test Mann-Whitney U tiene el supuesto de independencia de observaciones parcialmente comprometido por la estructura anidada del corpus. El análisis complementario de Cohen's d (N_B=214) reporta efectos medianos para los indicadores principales (REP d=0.514, DIS d=0.335), lo que proporciona una medida de la magnitud práctica de los hallazgos independiente de los supuestos de independencia del Mann-Whitney U. El path analysis exploratorio tiene ajuste moderado (CFI=0.619) — aceptable para análisis exploratorio pero no definitivo. El modelo SEM con variables latentes no fue estimable con los indicadores disponibles.</w:t>
      </w:r>
    </w:p>
    <w:p>
      <w:pPr>
        <w:pStyle w:val="Heading3"/>
        <w:spacing w:after="140" w:before="280"/>
        <w:outlineLvl w:val="2"/>
      </w:pPr>
      <w:r>
        <w:rPr>
          <w:rFonts w:ascii="Times New Roman" w:cs="Times New Roman" w:eastAsia="Times New Roman" w:hAnsi="Times New Roman"/>
          <w:b/>
          <w:bCs/>
          <w:i/>
          <w:iCs/>
          <w:color w:val="000000"/>
          <w:sz w:val="24"/>
          <w:szCs w:val="24"/>
        </w:rPr>
        <w:t xml:space="preserve">6.3.4 Limitaciones epistemológicas y éticas</w:t>
      </w:r>
    </w:p>
    <w:p>
      <w:pPr>
        <w:spacing w:after="200" w:line="360" w:lineRule="auto"/>
        <w:ind w:firstLine="720"/>
        <w:jc w:val="both"/>
      </w:pPr>
      <w:r>
        <w:rPr>
          <w:rFonts w:ascii="Times New Roman" w:cs="Times New Roman" w:eastAsia="Times New Roman" w:hAnsi="Times New Roman"/>
          <w:color w:val="000000"/>
          <w:sz w:val="24"/>
          <w:szCs w:val="24"/>
        </w:rPr>
        <w:t xml:space="preserve">Una limitación epistemológica es que la brecha en REP léxico es parcialmente temporal — los documentos recientes del CE también tienen mayor REP. La brecha semántica profunda (y₈, y₉) es estructural, pero el REP léxico requiere interpretación cuidadosa.</w:t>
      </w:r>
    </w:p>
    <w:p>
      <w:pPr>
        <w:spacing w:after="200" w:line="360" w:lineRule="auto"/>
        <w:ind w:firstLine="720"/>
        <w:jc w:val="both"/>
      </w:pPr>
      <w:r>
        <w:rPr>
          <w:rFonts w:ascii="Times New Roman" w:cs="Times New Roman" w:eastAsia="Times New Roman" w:hAnsi="Times New Roman"/>
          <w:color w:val="000000"/>
          <w:sz w:val="24"/>
          <w:szCs w:val="24"/>
        </w:rPr>
        <w:t xml:space="preserve">Una limitación ética concierne al uso de los testimonios de MAFAPO como corpus de referencia técnica. Los textos utilizados son comunicados públicos producidos para ser conocidos — no testimonios privados. Sin embargo, existe una tensión ética entre usar el lenguaje de las víctimas como referencia técnica y la participación directa de las organizaciones en el diseño del sistema. Como trabajo futuro se propone una fase de validación participativa con MAFAPO donde las propias organizaciones evalúen si los resultados CFH son coherentes con sus demandas de reconocimiento.</w:t>
      </w:r>
    </w:p>
    <w:p>
      <w:pPr>
        <w:spacing w:after="120"/>
      </w:pPr>
      <w:r>
        <w:rPr>
          <w:rFonts w:ascii="Times New Roman" w:cs="Times New Roman" w:eastAsia="Times New Roman" w:hAnsi="Times New Roman"/>
          <w:color w:val="000000"/>
          <w:sz w:val="24"/>
          <w:szCs w:val="24"/>
        </w:rPr>
        <w:t xml:space="preserve"/>
      </w:r>
    </w:p>
    <w:p>
      <w:pPr>
        <w:pStyle w:val="Normal"/>
      </w:pPr>
      <w:r>
        <w:rPr/>
        <w:t xml:space="preserve">D5 — ICM con N=5 subcasos: N=5 es el universo completo de audiencias disponibles del Macrocaso 003 — no una muestra. El análisis ICM no tiene pretensión inferencial estadística: es un análisis de perfiles que describe la configuración multimodal de cada compareciente. Las correlaciones reportadas (rho=+0.90 entre DIS y dis_tri) son exploratorias. La contribución del ICM es metodológica — demostrar la viabilidad del análisis tri-canal en el archivo judicial colombiano.</w:t>
      </w:r>
    </w:p>
    <w:p>
      <w:pPr>
        <w:pStyle w:val="Normal"/>
      </w:pPr>
      <w:r>
        <w:rPr/>
        <w:t xml:space="preserve">D4 — N_B=54: N_B=54 corresponde al universo de documentos JEP del Macrocaso 003 disponibles públicamente al cierre del corpus — restricción institucional. El poder estadístico para detectar d=0.30 con N_B=54 es ~0.35 (insuficiente). Esta limitación afecta la comparación A vs B con DIS_v1 pero no los resultados del Corpus C ni el IEI. Se propone ampliar el Corpus B a N≥200 en trabajos futuros.</w:t>
      </w:r>
    </w:p>
    <w:p>
      <w:pPr>
        <w:pStyle w:val="Normal"/>
      </w:pPr>
      <w:r>
        <w:rPr/>
        <w:t xml:space="preserve">D3 — REP domina el DIS en la comparación A vs B (r=+0.980 con d Cohen): La dominancia del REP opera en la comparación A vs B, no en el Corpus C oral. En el Corpus C, SA tiene el mayor rango entre subcasos (0.442) y NV el segundo (0.272), mientras REP tiene el menor (0.081). La parsimonia de DIS_v3 empírico (41%) es inferior a DIS_v1 teórico (89%), confirmando que los pesos habermasianos son más estables.</w:t>
      </w:r>
    </w:p>
    <w:p>
      <w:pPr>
        <w:pStyle w:val="Normal"/>
      </w:pPr>
      <w:r>
        <w:rPr/>
        <w:t xml:space="preserve">D2 — Asimetría DIS vs IEI: La asimetría no es un fallo del modelo — es el hallazgo central. El DIS mide injusticia habermasiana estructural al campo jurídico. El IEI mide injusticia epistémica frickeriana que sí diferencia los sistemas. La disociación DIS-IEI de Catatumbo (IEI&gt;DIS en 100% del espacio de pesos) demuestra empíricamente que las dos dimensiones son independientes. Un modelo donde ambos discriminaran igual sería redundante.</w:t>
      </w:r>
    </w:p>
    <w:p>
      <w:pPr>
        <w:pStyle w:val="Normal"/>
      </w:pPr>
      <w:r>
        <w:rPr/>
        <w:t xml:space="preserve">D1 — DIS_v1 no discrimina A vs B (d=0.166, p=0.115): El DIS_v1 está calibrado para el análisis del Corpus C oral — su función es comparar comparecientes, no sistemas de justicia. La comparación A vs B corresponde a DIS_v2 (d=0.481, p=0.0003) y al IEI (d=0.715, p&lt;0.001). SA y NV no discriminan A vs B porque la distorsión habermasiana es constitutiva del lenguaje jurídico colombiano en ambos sistemas — hallazgo teóricamente consistente con Habermas.</w:t>
      </w:r>
    </w:p>
    <w:p>
      <w:pPr>
        <w:pStyle w:val="Normal"/>
      </w:pPr>
      <w:r>
        <w:rPr/>
        <w:t xml:space="preserve">La evaluación crítica del framework CFH identificó cinco debilidades metodológicas que se documentan aquí con la evidencia empírica disponible.</w:t>
      </w:r>
    </w:p>
    <w:p>
      <w:pPr>
        <w:pStyle w:val="Heading 3"/>
      </w:pPr>
      <w:r>
        <w:rPr/>
        <w:t xml:space="preserve">6.3.5 Debilidades identificadas y respuestas metodológicas</w:t>
      </w:r>
    </w:p>
    <w:p>
      <w:pPr>
        <w:pStyle w:val="Heading2"/>
        <w:spacing w:after="180" w:before="360"/>
        <w:outlineLvl w:val="1"/>
      </w:pPr>
      <w:r>
        <w:rPr>
          <w:rFonts w:ascii="Times New Roman" w:cs="Times New Roman" w:eastAsia="Times New Roman" w:hAnsi="Times New Roman"/>
          <w:b/>
          <w:bCs/>
          <w:color w:val="000000"/>
          <w:sz w:val="26"/>
          <w:szCs w:val="26"/>
        </w:rPr>
        <w:t xml:space="preserve">6.4 Líneas de trabajo futuro</w:t>
      </w:r>
    </w:p>
    <w:p>
      <w:pPr>
        <w:spacing w:after="200" w:line="360" w:lineRule="auto"/>
        <w:ind w:firstLine="720"/>
        <w:jc w:val="both"/>
      </w:pPr>
      <w:r>
        <w:rPr>
          <w:rFonts w:ascii="Times New Roman" w:cs="Times New Roman" w:eastAsia="Times New Roman" w:hAnsi="Times New Roman"/>
          <w:b/>
          <w:bCs/>
          <w:color w:val="000000"/>
          <w:sz w:val="24"/>
          <w:szCs w:val="24"/>
        </w:rPr>
        <w:t xml:space="preserve">Corto plazo (antes de agosto 2026): </w:t>
      </w:r>
      <w:r>
        <w:rPr>
          <w:rFonts w:ascii="Times New Roman" w:cs="Times New Roman" w:eastAsia="Times New Roman" w:hAnsi="Times New Roman"/>
          <w:color w:val="000000"/>
          <w:sz w:val="24"/>
          <w:szCs w:val="24"/>
        </w:rPr>
        <w:t xml:space="preserve">completar la anotación con segundo anotador IAA (κ &gt; 0.80) sobre 500 fragmentos para CFH-BERT v2 definitivo. Extraer features acústicas eGeMAPS con OpenSMILE sobre los segmentos de compareciente diarizados para completar el ICM tri-canal (verbal + vocal + facial). Estimar el modelo SEM completo con y₇ una vez disponible CFH-BERT fine-tuned. Validación perceptual del ICM: correlación entre ICM calculado y percepción humana de sinceridad sobre muestra del Corpus C (Baird y Coutinho, 2019).</w:t>
      </w:r>
    </w:p>
    <w:p>
      <w:pPr>
        <w:spacing w:after="200" w:line="360" w:lineRule="auto"/>
        <w:ind w:firstLine="720"/>
        <w:jc w:val="both"/>
      </w:pPr>
      <w:r>
        <w:rPr>
          <w:sz w:val="24"/>
          <w:szCs w:val="24"/>
        </w:rPr>
        <w:t xml:space="preserve">Las features eGeMAPS v02 fueron extraídas con OpenSMILE sobre 10.897 ventanas (4 subcasos), el ICM vocal del compareciente fue calculado mediante cruce con las diarizaciones AUs, y el ICM tri-canal ponderado fue calculado e integrado en el análisis presentado en el §5.11. Pendiente para trabajo futuro: integración en el modelo SEM completo.</w:t>
      </w:r>
    </w:p>
    <w:p>
      <w:pPr>
        <w:spacing w:after="200" w:line="360" w:lineRule="auto"/>
        <w:ind w:firstLine="720"/>
        <w:jc w:val="both"/>
      </w:pPr>
      <w:r>
        <w:rPr>
          <w:rFonts w:ascii="Times New Roman" w:cs="Times New Roman" w:eastAsia="Times New Roman" w:hAnsi="Times New Roman"/>
          <w:b/>
          <w:bCs/>
          <w:color w:val="000000"/>
          <w:sz w:val="24"/>
          <w:szCs w:val="24"/>
        </w:rPr>
        <w:t xml:space="preserve">Mediano plazo (2026-2027): </w:t>
      </w:r>
      <w:r>
        <w:rPr>
          <w:rFonts w:ascii="Times New Roman" w:cs="Times New Roman" w:eastAsia="Times New Roman" w:hAnsi="Times New Roman"/>
          <w:color w:val="000000"/>
          <w:sz w:val="24"/>
          <w:szCs w:val="24"/>
        </w:rPr>
        <w:t xml:space="preserve">extracción de features acústicas y₁₂ con OpenSMILE sobre el Corpus C. Re-estimación del modelo SEM con 12 indicadores incluyendo la dimensión multimodal oral-escrita. Fase de validación participativa con MAFAPO y otras organizaciones de víctimas del Caso 03, transformando la CFH en un instrumento de construcción conjunta de conocimiento.</w:t>
      </w:r>
    </w:p>
    <w:p>
      <w:pPr>
        <w:spacing w:after="200" w:line="360" w:lineRule="auto"/>
        <w:ind w:firstLine="720"/>
        <w:jc w:val="both"/>
      </w:pPr>
      <w:r>
        <w:rPr>
          <w:rFonts w:ascii="Times New Roman" w:cs="Times New Roman" w:eastAsia="Times New Roman" w:hAnsi="Times New Roman"/>
          <w:b/>
          <w:bCs/>
          <w:color w:val="000000"/>
          <w:sz w:val="24"/>
          <w:szCs w:val="24"/>
        </w:rPr>
        <w:t xml:space="preserve">Largo plazo: </w:t>
      </w:r>
      <w:r>
        <w:rPr>
          <w:rFonts w:ascii="Times New Roman" w:cs="Times New Roman" w:eastAsia="Times New Roman" w:hAnsi="Times New Roman"/>
          <w:color w:val="000000"/>
          <w:sz w:val="24"/>
          <w:szCs w:val="24"/>
        </w:rPr>
        <w:t xml:space="preserve">extensión de la CFH a otros archivos judiciales de posconflicto — Guatemala (CEH), Argentina (CONADEP), Rwanda (Gacaca) — para evaluar si el modelo de brecha discursiva generaliza a otros contextos de justicia transicional y construir un índice comparativo internacional de injusticia discursiva.</w:t>
      </w:r>
    </w:p>
    <w:p>
      <w:pPr>
        <w:spacing w:after="200" w:line="360" w:lineRule="auto"/>
        <w:ind w:firstLine="720"/>
        <w:jc w:val="both"/>
      </w:pPr>
      <w:r>
        <w:rPr>
          <w:rFonts w:ascii="Times New Roman" w:cs="Times New Roman" w:eastAsia="Times New Roman" w:hAnsi="Times New Roman"/>
          <w:b/>
          <w:bCs/>
          <w:color w:val="000000"/>
          <w:sz w:val="24"/>
          <w:szCs w:val="24"/>
        </w:rPr>
        <w:t xml:space="preserve">Aplicaciones de política pública: </w:t>
      </w:r>
      <w:r>
        <w:rPr>
          <w:rFonts w:ascii="Times New Roman" w:cs="Times New Roman" w:eastAsia="Times New Roman" w:hAnsi="Times New Roman"/>
          <w:color w:val="000000"/>
          <w:sz w:val="24"/>
          <w:szCs w:val="24"/>
        </w:rPr>
        <w:t xml:space="preserve">el DIS Score tiene potencial como indicador de monitoreo de la calidad epistémica de los procesos de justicia transicional. Una versión operativa de la CFH podría integrarse en los sistemas de monitoreo de la JEP para evaluar en tiempo real si los reconocimientos cumplen los estándares de verdad completa y detallada exigidos por el Acuerdo de Paz.</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6.5 Conclusiones</w:t>
      </w:r>
    </w:p>
    <w:p>
      <w:pPr>
        <w:spacing w:after="200" w:line="360" w:lineRule="auto"/>
        <w:ind w:firstLine="720"/>
        <w:jc w:val="both"/>
      </w:pPr>
      <w:r>
        <w:rPr>
          <w:rFonts w:ascii="Times New Roman" w:cs="Times New Roman" w:eastAsia="Times New Roman" w:hAnsi="Times New Roman"/>
          <w:color w:val="000000"/>
          <w:sz w:val="24"/>
          <w:szCs w:val="24"/>
        </w:rPr>
        <w:t xml:space="preserve">Esta tesis presentó la Hermenéutica Forense Computacional (CFH), un marco teórico-metodológico original para medir la injusticia discursiva en el archivo judicial colombiano sobre los falsos positivos del Macrocaso 003 de la JEP. La investigación realizó tres contribuciones principales.</w:t>
      </w:r>
    </w:p>
    <w:p>
      <w:pPr>
        <w:spacing w:after="200" w:line="360" w:lineRule="auto"/>
        <w:ind w:firstLine="720"/>
        <w:jc w:val="both"/>
      </w:pPr>
      <w:r>
        <w:rPr>
          <w:rFonts w:ascii="Times New Roman" w:cs="Times New Roman" w:eastAsia="Times New Roman" w:hAnsi="Times New Roman"/>
          <w:color w:val="000000"/>
          <w:sz w:val="24"/>
          <w:szCs w:val="24"/>
        </w:rPr>
        <w:t xml:space="preserve">La primera contribución es conceptual: la operacionalización de los conceptos de violencia cultural (Galtung, 1990) y justicia como reconocimiento (Fraser, 1995) en indicadores computacionalmente extraíbles. El puente entre la teoría crítica del discurso y la ciencia de datos demostró ser fructífero: los patrones que el análisis cualitativo describe en casos individuales son detectables y medibles a escala del corpus completo.</w:t>
      </w:r>
    </w:p>
    <w:p>
      <w:pPr>
        <w:spacing w:after="200" w:line="360" w:lineRule="auto"/>
        <w:ind w:firstLine="720"/>
        <w:jc w:val="both"/>
      </w:pPr>
      <w:r>
        <w:rPr>
          <w:rFonts w:ascii="Times New Roman" w:cs="Times New Roman" w:eastAsia="Times New Roman" w:hAnsi="Times New Roman"/>
          <w:color w:val="000000"/>
          <w:sz w:val="24"/>
          <w:szCs w:val="24"/>
        </w:rPr>
        <w:t xml:space="preserve">La segunda contribución es metodológica: el diseño e implementación de un pipeline de extracción de features que procesa 873 secciones judiciales en 20 minutos de CPU, con CFH-BERT v2 (F1 macro=0.58), un corpus oral de 38.1 horas transcrito con Whisper y diarizado con pyannote-audio, y un módulo de Capa 3 multimodal que extrae Action Units faciales con MediaPipe FaceLandmarker sobre segmentos de compareciente diarizados. La apertura del código en GitHub garantiza la reproducibilidad y extensibilidad del sistema.</w:t>
      </w:r>
    </w:p>
    <w:p>
      <w:pPr>
        <w:spacing w:after="200" w:line="360" w:lineRule="auto"/>
        <w:ind w:firstLine="720"/>
        <w:jc w:val="both"/>
      </w:pPr>
      <w:r>
        <w:rPr>
          <w:rFonts w:ascii="Times New Roman" w:cs="Times New Roman" w:eastAsia="Times New Roman" w:hAnsi="Times New Roman"/>
          <w:color w:val="000000"/>
          <w:sz w:val="24"/>
          <w:szCs w:val="24"/>
        </w:rPr>
        <w:t xml:space="preserve">La tercera contribución es empírica: los primeros resultados cuantitativos sobre la brecha discursiva entre la justicia ordinaria colombiana y la justicia transicional JEP, y la primera caracterización multi-canal del discurso de reconocimiento en audiencias JEP. Ocho de nueve indicadores CFH muestran diferencias estadísticamente significativas entre Corpus A y B (Tabla 5.5). El hallazgo más importante del análisis de senderos es que y₃ distancia léxico-civil es el predictor principal de la transición epistémica (β=−5.337, p&lt;0.001) — la adopción del vocabulario de las víctimas, más que la reducción del encubrimiento, es el mecanismo central de la transformación discursiva de la JEP. El control temporal confirma que esta brecha semántica es estructural, no un artefacto del período histórico. El análisis integrado del Corpus C con seis indicadores y el ICM tri-canal revela que la disociación entre canales discursivos — no la congruencia — es el patrón estructural dominante en las audiencias de reconocimiento, lo que sugiere que el reconocimiento en contextos de justicia transicional es un fenómeno multidimensional que no puede reducirse a un único canal comunicativo. Esta tesis constituye además la primera operacionalización computacional multimodal de la injusticia epistémica en español jurídico colombiano, extendiendo el marco de Fricker (2007) al dominio multimodal mediante el Índice de Congruencia Multimodal tri-canal (verbal + vocal + facial), e identificando la incongruencia epistémica multimodal como fenómeno no categorizado por la teoría filosófica existente.</w:t>
      </w:r>
    </w:p>
    <w:p>
      <w:pPr>
        <w:jc w:val="both"/>
        <w:spacing w:after="160" w:line="340"/>
      </w:pPr>
      <w:r>
        <w:rPr>
          <w:sz w:val="22"/>
          <w:szCs w:val="22"/>
        </w:rPr>
        <w:t xml:space="preserve"> </w:t>
      </w:r>
    </w:p>
    <w:p>
      <w:pPr>
        <w:spacing w:after="200" w:line="360" w:lineRule="auto"/>
        <w:ind w:firstLine="720"/>
        <w:jc w:val="both"/>
      </w:pPr>
      <w:r>
        <w:rPr>
          <w:sz w:val="24"/>
          <w:szCs w:val="24"/>
        </w:rPr>
        <w:t xml:space="preserve"> </w:t>
      </w:r>
    </w:p>
    <w:p>
      <w:pPr>
        <w:spacing w:after="200" w:line="360" w:lineRule="auto"/>
        <w:ind w:firstLine="720"/>
        <w:jc w:val="both"/>
      </w:pPr>
      <w:r>
        <w:rPr>
          <w:rFonts w:ascii="Times New Roman" w:cs="Times New Roman" w:eastAsia="Times New Roman" w:hAnsi="Times New Roman"/>
          <w:color w:val="000000"/>
          <w:sz w:val="24"/>
          <w:szCs w:val="24"/>
        </w:rPr>
        <w:t xml:space="preserve">El veintidós de junio de dos mil ocho, Fair Leonardo Porras Bernal salió de Cazucá buscando trabajo. El archivo judicial colombiano lo registró primero como «guerrillero dado de baja» y luego, en cientos de sentencias del Consejo de Estado y resoluciones de la JEP, fue nombrándolo de nuevo. La Hermenéutica Forense Computacional es un intento de medir la distancia entre esas dos versiones de su historia en el archivo del Estado. Es, también, un acto de fe en que esa distancia puede acortarse.</w:t>
      </w:r>
    </w:p>
    <w:p>
      <w:pPr>
        <w:spacing w:after="120"/>
      </w:pPr>
      <w:r>
        <w:rPr>
          <w:rFonts w:ascii="Times New Roman" w:cs="Times New Roman" w:eastAsia="Times New Roman" w:hAnsi="Times New Roman"/>
          <w:color w:val="000000"/>
          <w:sz w:val="24"/>
          <w:szCs w:val="24"/>
        </w:rPr>
        <w:t xml:space="preserve"/>
      </w:r>
    </w:p>
    <w:p>
      <w:pPr>
        <w:spacing w:after="200" w:before="480"/>
      </w:pPr>
      <w:r>
        <w:rPr>
          <w:rFonts w:ascii="Times New Roman" w:cs="Times New Roman" w:eastAsia="Times New Roman" w:hAnsi="Times New Roman"/>
          <w:b/>
          <w:bCs/>
          <w:color w:val="000000"/>
          <w:sz w:val="22"/>
          <w:szCs w:val="22"/>
        </w:rPr>
        <w:t xml:space="preserve">Referencias del capítulo</w:t>
      </w:r>
    </w:p>
    <w:p>
      <w:pPr>
        <w:spacing w:after="120"/>
        <w:ind w:left="720" w:hanging="720"/>
        <w:jc w:val="both"/>
      </w:pPr>
      <w:r>
        <w:rPr>
          <w:rFonts w:ascii="Times New Roman" w:cs="Times New Roman" w:eastAsia="Times New Roman" w:hAnsi="Times New Roman"/>
          <w:color w:val="000000"/>
          <w:sz w:val="20"/>
          <w:szCs w:val="20"/>
        </w:rPr>
        <w:t xml:space="preserve">Baird, A. y Coutinho, E. (2019). Sincerity in Acted Speech: The Sincere Apology Corpus (SinA-C). INTERSPEECH 2019.</w:t>
      </w:r>
    </w:p>
    <w:p>
      <w:pPr>
        <w:spacing w:after="120"/>
        <w:ind w:left="720" w:hanging="720"/>
        <w:jc w:val="both"/>
      </w:pPr>
      <w:r>
        <w:rPr>
          <w:rFonts w:ascii="Times New Roman" w:cs="Times New Roman" w:eastAsia="Times New Roman" w:hAnsi="Times New Roman"/>
          <w:color w:val="000000"/>
          <w:sz w:val="20"/>
          <w:szCs w:val="20"/>
        </w:rPr>
        <w:t xml:space="preserve">Bhatia, V. K. (1993). Analysing Genre: Language Use in Professional Settings. Longman.</w:t>
      </w:r>
    </w:p>
    <w:p>
      <w:pPr>
        <w:spacing w:after="120"/>
        <w:ind w:left="720" w:hanging="720"/>
        <w:jc w:val="both"/>
      </w:pPr>
      <w:r>
        <w:rPr>
          <w:rFonts w:ascii="Times New Roman" w:cs="Times New Roman" w:eastAsia="Times New Roman" w:hAnsi="Times New Roman"/>
          <w:color w:val="000000"/>
          <w:sz w:val="20"/>
          <w:szCs w:val="20"/>
        </w:rPr>
        <w:t xml:space="preserve">Fraser, N. (1995). From redistribution to recognition? Dilemmas of justice in a 'post-socialist' age. New Left Review, 212, 68–93.</w:t>
      </w:r>
    </w:p>
    <w:p>
      <w:pPr>
        <w:spacing w:after="120"/>
        <w:ind w:left="720" w:hanging="720"/>
        <w:jc w:val="both"/>
      </w:pPr>
      <w:r>
        <w:rPr>
          <w:rFonts w:ascii="Times New Roman" w:cs="Times New Roman" w:eastAsia="Times New Roman" w:hAnsi="Times New Roman"/>
          <w:color w:val="000000"/>
          <w:sz w:val="20"/>
          <w:szCs w:val="20"/>
        </w:rPr>
        <w:t xml:space="preserve">Galtung, J. (1990). Cultural violence. Journal of Peace Research, 27(3), 291–305.</w:t>
      </w:r>
    </w:p>
    <w:p>
      <w:pPr>
        <w:spacing w:after="120"/>
        <w:ind w:left="720" w:hanging="720"/>
        <w:jc w:val="both"/>
      </w:pPr>
      <w:r>
        <w:rPr>
          <w:rFonts w:ascii="Times New Roman" w:cs="Times New Roman" w:eastAsia="Times New Roman" w:hAnsi="Times New Roman"/>
          <w:color w:val="000000"/>
          <w:sz w:val="20"/>
          <w:szCs w:val="20"/>
        </w:rPr>
        <w:t xml:space="preserve">Igolkina, A. A. y Meshcheryakov, G. (2020). semopy: A Python package for Structural Equation Models. arXiv:2003.05838.</w:t>
      </w:r>
    </w:p>
    <w:p>
      <w:pPr>
        <w:spacing w:after="120"/>
        <w:ind w:left="720" w:hanging="720"/>
        <w:jc w:val="both"/>
      </w:pPr>
      <w:r>
        <w:rPr>
          <w:rFonts w:ascii="Times New Roman" w:cs="Times New Roman" w:eastAsia="Times New Roman" w:hAnsi="Times New Roman"/>
          <w:color w:val="000000"/>
          <w:sz w:val="20"/>
          <w:szCs w:val="20"/>
        </w:rPr>
        <w:t xml:space="preserve">JEP — Jurisdicción Especial para la Paz. (2022). Resoluciones de Conclusiones No. 01 y 03 de 2022 — Caso 03. SRVR.</w:t>
      </w:r>
    </w:p>
    <w:p>
      <w:pPr>
        <w:spacing w:after="120"/>
        <w:ind w:left="720" w:hanging="720"/>
        <w:jc w:val="both"/>
      </w:pPr>
      <w:r>
        <w:rPr>
          <w:rFonts w:ascii="Times New Roman" w:cs="Times New Roman" w:eastAsia="Times New Roman" w:hAnsi="Times New Roman"/>
          <w:color w:val="000000"/>
          <w:sz w:val="20"/>
          <w:szCs w:val="20"/>
        </w:rPr>
        <w:t xml:space="preserve">Kline, R. B. (2023). Principles and Practice of Structural Equation Modeling (5.ª ed.). Guilford Press.</w:t>
      </w:r>
    </w:p>
    <w:p>
      <w:pPr>
        <w:spacing w:after="120"/>
        <w:ind w:left="720" w:hanging="720"/>
        <w:jc w:val="both"/>
      </w:pPr>
      <w:r>
        <w:rPr>
          <w:rFonts w:ascii="Times New Roman" w:cs="Times New Roman" w:eastAsia="Times New Roman" w:hAnsi="Times New Roman"/>
          <w:color w:val="000000"/>
          <w:sz w:val="20"/>
          <w:szCs w:val="20"/>
        </w:rPr>
        <w:t xml:space="preserve">Noble, S. U. (2018). Algorithms of Oppression. New York University Press.</w:t>
      </w:r>
    </w:p>
    <w:p>
      <w:pPr>
        <w:spacing w:after="120"/>
        <w:ind w:left="720" w:hanging="720"/>
        <w:jc w:val="both"/>
      </w:pPr>
      <w:r>
        <w:rPr>
          <w:rFonts w:ascii="Times New Roman" w:cs="Times New Roman" w:eastAsia="Times New Roman" w:hAnsi="Times New Roman"/>
          <w:color w:val="000000"/>
          <w:sz w:val="20"/>
          <w:szCs w:val="20"/>
        </w:rPr>
        <w:t xml:space="preserve">Scientific Reports. (2024). The nonverbal expression of guilt in healthy adults. Nature, vol. 14, art. 10607.</w:t>
      </w:r>
    </w:p>
    <w:p>
      <w:pPr>
        <w:spacing w:after="120"/>
        <w:ind w:left="720" w:hanging="720"/>
        <w:jc w:val="both"/>
      </w:pPr>
      <w:r>
        <w:rPr>
          <w:rFonts w:ascii="Times New Roman" w:cs="Times New Roman" w:eastAsia="Times New Roman" w:hAnsi="Times New Roman"/>
          <w:color w:val="000000"/>
          <w:sz w:val="20"/>
          <w:szCs w:val="20"/>
        </w:rPr>
        <w:t xml:space="preserve">Swales, J. M. (1990). Genre Analysis: English in Academic and Research Settings. Cambridge University Press.</w:t>
      </w:r>
    </w:p>
    <w:p>
      <w:pPr>
        <w:spacing w:after="120"/>
        <w:ind w:left="720" w:hanging="720"/>
        <w:jc w:val="both"/>
      </w:pPr>
      <w:r>
        <w:rPr>
          <w:rFonts w:ascii="Times New Roman" w:cs="Times New Roman" w:eastAsia="Times New Roman" w:hAnsi="Times New Roman"/>
          <w:color w:val="000000"/>
          <w:sz w:val="20"/>
          <w:szCs w:val="20"/>
        </w:rPr>
        <w:t xml:space="preserve">van Dijk, T. A. (2008). Discourse and Power. Palgrave Macmillan.</w:t>
      </w:r>
    </w:p>
    <w:p>
      <w:pPr>
        <w:spacing w:after="120"/>
        <w:ind w:left="720" w:hanging="720"/>
        <w:jc w:val="both"/>
      </w:pPr>
      <w:r>
        <w:rPr>
          <w:rFonts w:ascii="Times New Roman" w:cs="Times New Roman" w:eastAsia="Times New Roman" w:hAnsi="Times New Roman"/>
          <w:color w:val="000000"/>
          <w:sz w:val="20"/>
          <w:szCs w:val="20"/>
        </w:rPr>
        <w:t xml:space="preserve">Yang, W., Alsarra, S., Abdeljaber, L., Zawad, N., Delaram, Z., Osorio, J., Khan, L., Brandt, P., y D'Orazio, V. (2023). ConfliBERT-Spanish: A Pre-trained Spanish Language Model for Political Conflict and Violence. IEEE CiSt 2023.</w:t>
      </w:r>
    </w:p>
    <w:p>
      <w:pPr>
        <w:spacing w:after="120"/>
        <w:ind w:left="720" w:hanging="720"/>
        <w:jc w:val="both"/>
      </w:pPr>
      <w:r>
        <w:rPr>
          <w:rFonts w:ascii="Times New Roman" w:cs="Times New Roman" w:eastAsia="Times New Roman" w:hAnsi="Times New Roman"/>
          <w:color w:val="000000"/>
          <w:sz w:val="20"/>
          <w:szCs w:val="20"/>
        </w:rPr>
        <w:t xml:space="preserve">Zehr, H. (2002). The Little Book of Restorative Justice. Good Books.</w:t>
      </w:r>
    </w:p>
    <w:sectPr>
      <w:headerReference w:type="default" r:id="rId7"/>
      <w:footerReference w:type="default" r:id="rId8"/>
      <w:pgSz w:w="11906" w:h="16838" w:orient="portrait"/>
      <w:pgMar w:top="2268" w:right="1701" w:bottom="2268" w:left="226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Times New Roman" w:cs="Times New Roman" w:eastAsia="Times New Roman" w:hAnsi="Times New Roman"/>
        <w:i/>
        <w:iCs/>
        <w:color w:val="595959"/>
        <w:sz w:val="20"/>
        <w:szCs w:val="20"/>
      </w:rPr>
      <w:t xml:space="preserve">El lenguaje de los falsos positivos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Times New Roman" w:cs="Times New Roman" w:eastAsia="Times New Roman" w:hAnsi="Times New Roman"/>
      <w:b/>
      <w:bCs/>
      <w:color w:val="0D2137"/>
      <w:sz w:val="28"/>
      <w:szCs w:val="28"/>
    </w:rPr>
  </w:style>
  <w:style w:type="paragraph" w:styleId="Heading2">
    <w:name w:val="Heading 2"/>
    <w:basedOn w:val="Normal"/>
    <w:next w:val="Normal"/>
    <w:qFormat/>
    <w:pPr>
      <w:spacing w:after="180" w:before="36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140" w:before="280"/>
      <w:outlineLvl w:val="2"/>
    </w:pPr>
    <w:rPr>
      <w:rFonts w:ascii="Times New Roman" w:cs="Times New Roman" w:eastAsia="Times New Roman" w:hAnsi="Times New Roman"/>
      <w:b/>
      <w:bCs/>
      <w:i/>
      <w:i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2026-04-16T03:10:35.378Z</dcterms:created>
  <dcterms:modified xsi:type="dcterms:W3CDTF">2026-04-16T03:10:35.379Z</dcterms:modified>
</cp:coreProperties>
</file>

<file path=docProps/custom.xml><?xml version="1.0" encoding="utf-8"?>
<Properties xmlns="http://schemas.openxmlformats.org/officeDocument/2006/custom-properties" xmlns:vt="http://schemas.openxmlformats.org/officeDocument/2006/docPropsVTypes"/>
</file>