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es genuino o performativo.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 Escalante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Torres Escalante)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v2 (25 textos reales). Implementado: A=0.211, B=0.191, C=0.191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 Requiere los videos de las audiencias además de los audios ya disponibles.</w:t>
      </w:r>
    </w:p>
    <w:p>
      <w:pPr>
        <w:spacing w:after="200" w:line="360" w:lineRule="auto"/>
        <w:ind w:firstLine="720"/>
        <w:jc w:val="both"/>
      </w:pPr>
      <w:r>
        <w:rPr>
          <w:rFonts w:ascii="Times New Roman" w:cs="Times New Roman" w:eastAsia="Times New Roman" w:hAnsi="Times New Roman"/>
          <w:b/>
          <w:bCs/>
          <w:color w:val="000000"/>
          <w:sz w:val="24"/>
          <w:szCs w:val="24"/>
        </w:rPr>
        <w:t xml:space="preserve">Features prosódicas — OpenSMILE eGeMAPS. </w:t>
      </w:r>
      <w:r>
        <w:rPr>
          <w:rFonts w:ascii="Times New Roman" w:cs="Times New Roman" w:eastAsia="Times New Roman" w:hAnsi="Times New Roman"/>
          <w:color w:val="000000"/>
          <w:sz w:val="24"/>
          <w:szCs w:val="24"/>
        </w:rPr>
        <w:t xml:space="preserve">El extractor eGeMAPS (Eyben et al., 2016) produce 88 features acústicas estandarizadas por segmento: F0 (pitch), intensidad, MFCC, jitter, shimmer, alpha ratio, speech rate, duración de pausas. Estos features se calculan sobre los segmentos del compareciente identificados por diarización. Los marcadores más relevantes para el ICM son: shimmer alto (quiebre de voz, distress emocional), pausas largas (procesamiento cognitivo difícil), speech rate reducido (carga cognitiva), alpha ratio (estrés involuntario — marcador más confiable según PLOS ONE, 2025).</w:t>
      </w:r>
    </w:p>
    <w:p>
      <w:pPr>
        <w:spacing w:after="200" w:line="360" w:lineRule="auto"/>
        <w:ind w:firstLine="720"/>
        <w:jc w:val="both"/>
      </w:pPr>
      <w:r>
        <w:rPr>
          <w:rFonts w:ascii="Times New Roman" w:cs="Times New Roman" w:eastAsia="Times New Roman" w:hAnsi="Times New Roman"/>
          <w:b/>
          <w:bCs/>
          <w:color w:val="000000"/>
          <w:sz w:val="24"/>
          <w:szCs w:val="24"/>
        </w:rPr>
        <w:t xml:space="preserve">Features faciales — OpenFace 3.0. </w:t>
      </w:r>
      <w:r>
        <w:rPr>
          <w:rFonts w:ascii="Times New Roman" w:cs="Times New Roman" w:eastAsia="Times New Roman" w:hAnsi="Times New Roman"/>
          <w:color w:val="000000"/>
          <w:sz w:val="24"/>
          <w:szCs w:val="24"/>
        </w:rPr>
        <w:t xml:space="preserve">OpenFace 3.0 (Baltrusaitis et al., 2025) extrae Action Units (FACS), head pose y gaze direction por frame de video. Los AUs más relevantes para el ICM son: AU1+AU4 (inner brow raise + brow lowerer — distress), AU6+AU12 vs AU12 solo (sonrisa Duchenne genuina vs social), AU15+AU17 (tristeza, contención emocional), cabeza inclinada hacia abajo (vergüenza), gaze hacia las víctimas (orientación hacia el otro). Conforme al hallazgo de Scientific Reports (2024), la culpa no tiene un display facial discreto identificable — por eso el ICM mide congruencia entre canales, no AUs aisladas.</w:t>
      </w:r>
    </w:p>
    <w:p>
      <w:pPr>
        <w:spacing w:after="200" w:line="360" w:lineRule="auto"/>
        <w:ind w:firstLine="720"/>
        <w:jc w:val="both"/>
      </w:pPr>
      <w:r>
        <w:rPr>
          <w:rFonts w:ascii="Times New Roman" w:cs="Times New Roman" w:eastAsia="Times New Roman" w:hAnsi="Times New Roman"/>
          <w:b/>
          <w:bCs/>
          <w:color w:val="000000"/>
          <w:sz w:val="24"/>
          <w:szCs w:val="24"/>
        </w:rPr>
        <w:t xml:space="preserve">Índice de Congruencia Multimodal (ICM). </w:t>
      </w:r>
      <w:r>
        <w:rPr>
          <w:rFonts w:ascii="Times New Roman" w:cs="Times New Roman" w:eastAsia="Times New Roman" w:hAnsi="Times New Roman"/>
          <w:color w:val="000000"/>
          <w:sz w:val="24"/>
          <w:szCs w:val="24"/>
        </w:rPr>
        <w:t xml:space="preserve">El ICM integra los tres canales — verbal (ConfliBERT REP score), vocal (shimmer, pausas, speech rate de eGeMAPS), facial (AU1+AU4+AU15, cabeza inclinada de OpenFace) — calculando la coherencia entre canales en ventanas de 10 segundos. La métrica es la desviación estándar de la valencia/arousal entre canales: alta desviación = incongruencia (reconocimiento performativo), baja desviación = congruencia (reconocimiento genuino). Alternativamente, se puede usar cosine similarity entre embeddings modales (BERT para texto, HuBERT para audio, CLIP para video).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4.5.5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Modelo integrado con Capa 3 — pendiente de extracción de features eGeMAPS y OpenFace sobre videos descargados. SEM completo con y₇ e y₁₁ pendiente de CFH-BERT v2 fine-tuned definitivo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mediante el criterio de Baird y Coutinho (2019): correlación entre el ICM calculado y la percepción de sinceridad de jueces humanos sobre una muestra de segmentos del Corpus C.</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Baltrusaitis, T., et al. (2025). OpenFace 3.0: A Lightweight Multitask System for Comprehensive Facial Behavior Analysis. arXiv:2506.02891.</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2026-04-12T22:46:32.570Z</dcterms:created>
  <dcterms:modified xsi:type="dcterms:W3CDTF">2026-04-12T22:46:32.571Z</dcterms:modified>
</cp:coreProperties>
</file>

<file path=docProps/custom.xml><?xml version="1.0" encoding="utf-8"?>
<Properties xmlns="http://schemas.openxmlformats.org/officeDocument/2006/custom-properties" xmlns:vt="http://schemas.openxmlformats.org/officeDocument/2006/docPropsVTypes"/>
</file>