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E46C9" w14:textId="77777777" w:rsidR="00855464" w:rsidRDefault="00000000">
      <w:pPr>
        <w:pStyle w:val="Ttulo1"/>
      </w:pPr>
      <w:r>
        <w:t>6. Discusión y conclusiones</w:t>
      </w:r>
    </w:p>
    <w:p w14:paraId="0B3E69DC" w14:textId="77777777" w:rsidR="00855464" w:rsidRDefault="00000000">
      <w:pPr>
        <w:spacing w:after="200" w:line="360" w:lineRule="auto"/>
        <w:ind w:firstLine="720"/>
        <w:jc w:val="both"/>
      </w:pPr>
      <w:r>
        <w:rPr>
          <w:color w:val="000000"/>
        </w:rPr>
        <w:t xml:space="preserve">Este capítulo discute el significado de los hallazgos empíricos en relación con las hipótesis del marco teórico, analiza las limitaciones de la investigación, propone líneas de trabajo futuro y formula las conclusiones de la tesis. La discusión se organiza en torno a cuatro hallazgos principales que emergen del análisis del corpus CFH: la confirmación de la brecha discursiva en REP, la asimetría de la transición epistémica, el fenómeno del NV cuestionado y la transversalidad de la supresión de </w:t>
      </w:r>
      <w:proofErr w:type="spellStart"/>
      <w:r>
        <w:rPr>
          <w:color w:val="000000"/>
        </w:rPr>
        <w:t>agentividad</w:t>
      </w:r>
      <w:proofErr w:type="spellEnd"/>
      <w:r>
        <w:rPr>
          <w:color w:val="000000"/>
        </w:rPr>
        <w:t>.</w:t>
      </w:r>
    </w:p>
    <w:p w14:paraId="746FD26B" w14:textId="77777777" w:rsidR="00855464" w:rsidRDefault="00855464">
      <w:pPr>
        <w:spacing w:after="120"/>
      </w:pPr>
    </w:p>
    <w:p w14:paraId="00E8473D" w14:textId="77777777" w:rsidR="00855464" w:rsidRDefault="00000000">
      <w:pPr>
        <w:pStyle w:val="Ttulo2"/>
      </w:pPr>
      <w:r>
        <w:t>6.1 Discusión de los hallazgos</w:t>
      </w:r>
    </w:p>
    <w:p w14:paraId="6A01A615" w14:textId="77777777" w:rsidR="00855464" w:rsidRDefault="00000000">
      <w:pPr>
        <w:pStyle w:val="Ttulo3"/>
      </w:pPr>
      <w:r>
        <w:t>6.1.1 La brecha discursiva en REP: confirmación parcial de H₃</w:t>
      </w:r>
    </w:p>
    <w:p w14:paraId="5C4D52F0" w14:textId="77777777" w:rsidR="00855464" w:rsidRDefault="00000000">
      <w:pPr>
        <w:spacing w:after="200" w:line="360" w:lineRule="auto"/>
        <w:ind w:firstLine="720"/>
        <w:jc w:val="both"/>
      </w:pPr>
      <w:r>
        <w:rPr>
          <w:color w:val="000000"/>
        </w:rPr>
        <w:t xml:space="preserve">El primer hallazgo central es que el REP Score del Corpus B (JEP, media=0.153) es significativamente mayor que el del Corpus A (justicia ordinaria, media=0.086), con una diferencia de +0.067 y p&lt;0.001 en </w:t>
      </w:r>
      <w:proofErr w:type="gramStart"/>
      <w:r>
        <w:rPr>
          <w:color w:val="000000"/>
        </w:rPr>
        <w:t>el test</w:t>
      </w:r>
      <w:proofErr w:type="gramEnd"/>
      <w:r>
        <w:rPr>
          <w:color w:val="000000"/>
        </w:rPr>
        <w:t xml:space="preserve"> Mann-Whitney U. Este resultado constituye evidencia preliminar en favor de la hipótesis H₃ — que el DIS Score predice negativamente la Transición Epistémica — aunque la prueba confirmatoria formal requiere el modelo SEM completo con los once indicadores.</w:t>
      </w:r>
    </w:p>
    <w:p w14:paraId="1D73A84B" w14:textId="77777777" w:rsidR="00855464" w:rsidRDefault="00000000">
      <w:pPr>
        <w:spacing w:after="200" w:line="360" w:lineRule="auto"/>
        <w:ind w:firstLine="720"/>
        <w:jc w:val="both"/>
      </w:pPr>
      <w:r>
        <w:rPr>
          <w:color w:val="000000"/>
        </w:rPr>
        <w:t>La interpretación de este resultado desde el marco teórico Fraser-Galtung es directa: la justicia transicional JEP produce una transformación discursiva real y cuantificable. Los actos de habla de reconocimiento —la admisión de responsabilidad, la restitución de la identidad civil de las víctimas, la adopción del vocabulario DIH— son significativamente más frecuentes en el archivo JEP que en el archivo de la justicia ordinaria. Esta diferencia refleja no solo un cambio retórico sino una ruptura epistémica en el sentido de Fraser: el sistema JEP produce condiciones para que las víctimas sean reconocidas como interlocutoras iguales, lo que el sistema ordinario no producía.</w:t>
      </w:r>
    </w:p>
    <w:p w14:paraId="790BF652" w14:textId="77777777" w:rsidR="00855464" w:rsidRDefault="00000000">
      <w:pPr>
        <w:spacing w:after="200" w:line="360" w:lineRule="auto"/>
        <w:ind w:firstLine="720"/>
        <w:jc w:val="both"/>
      </w:pPr>
      <w:r>
        <w:rPr>
          <w:color w:val="000000"/>
        </w:rPr>
        <w:lastRenderedPageBreak/>
        <w:t>Sin embargo, la brecha es menor de lo que podría esperarse dado el contraste entre los dos sistemas. Una magnitud de efecto de +0.067 en una escala [0,1] es estadísticamente robusta pero modesta en términos sustantivos. Esto puede deberse a tres factores: primero, al bajo N del Corpus B (n=54) que limita la potencia estadística; segundo, a que el fine-</w:t>
      </w:r>
      <w:proofErr w:type="spellStart"/>
      <w:r>
        <w:rPr>
          <w:color w:val="000000"/>
        </w:rPr>
        <w:t>tuning</w:t>
      </w:r>
      <w:proofErr w:type="spellEnd"/>
      <w:r>
        <w:rPr>
          <w:color w:val="000000"/>
        </w:rPr>
        <w:t xml:space="preserve"> del extractor y₁₀ con datos anotados específicamente para el dominio JEP aumentará su sensibilidad; tercero, a que la brecha real puede ser mayor cuando se incorporen los indicadores de </w:t>
      </w:r>
      <w:proofErr w:type="spellStart"/>
      <w:r>
        <w:rPr>
          <w:color w:val="000000"/>
        </w:rPr>
        <w:t>embeddings</w:t>
      </w:r>
      <w:proofErr w:type="spellEnd"/>
      <w:r>
        <w:rPr>
          <w:color w:val="000000"/>
        </w:rPr>
        <w:t xml:space="preserve"> (y₇-y₉, y₁₁) que capturan dimensiones semánticas más profundas que los patrones léxicos actuales.</w:t>
      </w:r>
    </w:p>
    <w:p w14:paraId="5AF5A704" w14:textId="77777777" w:rsidR="00855464" w:rsidRDefault="00000000">
      <w:pPr>
        <w:spacing w:after="200" w:line="360" w:lineRule="auto"/>
        <w:ind w:firstLine="720"/>
        <w:jc w:val="both"/>
      </w:pPr>
      <w:r>
        <w:rPr>
          <w:color w:val="000000"/>
        </w:rPr>
        <w:t xml:space="preserve">Los indicadores de distancia semántica y₈ y </w:t>
      </w:r>
      <w:proofErr w:type="spellStart"/>
      <w:r>
        <w:rPr>
          <w:color w:val="000000"/>
        </w:rPr>
        <w:t>y</w:t>
      </w:r>
      <w:proofErr w:type="spellEnd"/>
      <w:r>
        <w:rPr>
          <w:color w:val="000000"/>
        </w:rPr>
        <w:t xml:space="preserve">₉ —calculados con </w:t>
      </w:r>
      <w:proofErr w:type="spellStart"/>
      <w:r>
        <w:rPr>
          <w:color w:val="000000"/>
        </w:rPr>
        <w:t>embeddings</w:t>
      </w:r>
      <w:proofErr w:type="spellEnd"/>
      <w:r>
        <w:rPr>
          <w:color w:val="000000"/>
        </w:rPr>
        <w:t xml:space="preserve"> BETO sobre 873 secciones— añaden una dimensión confirmatoria a este hallazgo. El Corpus B está significativamente más cercano al centroide semántico de MAFAPO (distancia media=0.224 vs 0.249, p&lt;0.001) y al centroide de la CIDH (0.223 vs 0.241, p&lt;0.001). Esto significa que el lenguaje de las resoluciones JEP, en su globalidad semántica —no solo en su vocabulario de reconocimiento— se aproxima más al lenguaje de las víctimas y del derecho internacional humanitario que el lenguaje de la justicia ordinaria. Esta convergencia multimodal de cuatro indicadores independientes (y₁₀, y₃, y₈, y₉) con p&lt;0.001 en la misma dirección constituye la evidencia más robusta disponible en este estudio sobre la existencia de una brecha discursiva real entre los dos sistemas de justicia.</w:t>
      </w:r>
    </w:p>
    <w:p w14:paraId="1D152EC7" w14:textId="77777777" w:rsidR="00855464" w:rsidRDefault="00000000">
      <w:pPr>
        <w:pStyle w:val="Ttulo3"/>
      </w:pPr>
      <w:r>
        <w:t>6.1.2 La asimetría de la transición: REP formal vs. REP epistémico</w:t>
      </w:r>
    </w:p>
    <w:p w14:paraId="50B05877" w14:textId="77777777" w:rsidR="00855464" w:rsidRDefault="00000000">
      <w:pPr>
        <w:spacing w:after="200" w:line="360" w:lineRule="auto"/>
        <w:ind w:firstLine="720"/>
        <w:jc w:val="both"/>
      </w:pPr>
      <w:r>
        <w:rPr>
          <w:color w:val="000000"/>
        </w:rPr>
        <w:t>El segundo hallazgo, no predicho explícitamente por el marco teórico pero emergente del análisis de datos, es la distinción entre REP jurídico-formal y REP epistémico genuino. Las 36 secciones de REP puro (REP&gt;0.3, NV&lt;0.2) del Corpus A se distribuyen predominantemente en secciones de DECISIÓN del Consejo de Estado (27 de 36) y presentan un año promedio de 2012.2 — no significativamente más reciente que el resto del corpus (2013.3, ρ=−0.004, p=0.91).</w:t>
      </w:r>
    </w:p>
    <w:p w14:paraId="183EB4B6" w14:textId="77777777" w:rsidR="00855464" w:rsidRDefault="00000000">
      <w:pPr>
        <w:spacing w:after="200" w:line="360" w:lineRule="auto"/>
        <w:ind w:firstLine="720"/>
        <w:jc w:val="both"/>
      </w:pPr>
      <w:r>
        <w:rPr>
          <w:color w:val="000000"/>
        </w:rPr>
        <w:lastRenderedPageBreak/>
        <w:t>Este resultado revela que el lexicón REP captura dos fenómenos distintos que el extractor y₁₀ actual no discrimina: primero, el REP epistémico genuino de las resoluciones JEP, donde el reconocimiento es un acto de habla constitutivo que transforma la relación entre el Estado y las víctimas; segundo, el REP jurídico-formal de las sentencias del CE, donde fórmulas como «se reconoce la responsabilidad del Estado» o «se condena a la reparación de los perjuicios» activan el lexicón REP sin que exista una transformación epistémica profunda — son obligaciones jurídicas, no actos de reconocimiento en el sentido de Fraser.</w:t>
      </w:r>
    </w:p>
    <w:p w14:paraId="38A757AD" w14:textId="77777777" w:rsidR="00855464" w:rsidRDefault="00000000">
      <w:pPr>
        <w:spacing w:after="200" w:line="360" w:lineRule="auto"/>
        <w:ind w:firstLine="720"/>
        <w:jc w:val="both"/>
      </w:pPr>
      <w:r>
        <w:rPr>
          <w:color w:val="000000"/>
        </w:rPr>
        <w:t>Esta distinción tiene implicaciones metodológicas directas para la versión definitiva del sistema CFH. El fine-</w:t>
      </w:r>
      <w:proofErr w:type="spellStart"/>
      <w:r>
        <w:rPr>
          <w:color w:val="000000"/>
        </w:rPr>
        <w:t>tuning</w:t>
      </w:r>
      <w:proofErr w:type="spellEnd"/>
      <w:r>
        <w:rPr>
          <w:color w:val="000000"/>
        </w:rPr>
        <w:t xml:space="preserve"> de CFH-BERT con el corpus anotado IAA (κ &gt; 0.80) permitirá distinguir entre estas dos modalidades de REP, mejorando la validez de constructo del indicador y₁₀. En términos teóricos, esta distinción enriquece el marco Fraser-Galtung: el reconocimiento puede ser performativo (fórmula jurídica) o constitutivo (acto epistémico), y solo el segundo produce la transformación discursiva que la justicia transicional se propone.</w:t>
      </w:r>
    </w:p>
    <w:p w14:paraId="06DB4C1C" w14:textId="77777777" w:rsidR="00855464" w:rsidRDefault="00000000">
      <w:pPr>
        <w:pStyle w:val="Ttulo3"/>
      </w:pPr>
      <w:r>
        <w:t>6.1.4 CFH-BERT v1: aprendizaje supervisado con datos escasos</w:t>
      </w:r>
    </w:p>
    <w:p w14:paraId="260393DB" w14:textId="77777777" w:rsidR="00855464" w:rsidRDefault="00000000">
      <w:pPr>
        <w:spacing w:after="200" w:line="360" w:lineRule="auto"/>
        <w:ind w:firstLine="720"/>
        <w:jc w:val="both"/>
      </w:pPr>
      <w:r>
        <w:rPr>
          <w:color w:val="000000"/>
        </w:rPr>
        <w:t>El fine-</w:t>
      </w:r>
      <w:proofErr w:type="spellStart"/>
      <w:r>
        <w:rPr>
          <w:color w:val="000000"/>
        </w:rPr>
        <w:t>tuning</w:t>
      </w:r>
      <w:proofErr w:type="spellEnd"/>
      <w:r>
        <w:rPr>
          <w:color w:val="000000"/>
        </w:rPr>
        <w:t xml:space="preserve"> de CFH-BERT v1 sobre 100 tareas anotadas manualmente produjo resultados que ilustran tanto el potencial como los límites del aprendizaje supervisado con datos escasos en dominios especializados. El modelo aprende la categoría REP con F1=0.71 — resultado notable para un corpus de entrenamiento de solo 80 ejemplos — lo que sugiere que la señal lingüística del reconocimiento es suficientemente consistente para ser aprendida con pocas instancias. Este resultado es coherente con la literatura sobre </w:t>
      </w:r>
      <w:proofErr w:type="spellStart"/>
      <w:r>
        <w:rPr>
          <w:color w:val="000000"/>
        </w:rPr>
        <w:t>few-shot</w:t>
      </w:r>
      <w:proofErr w:type="spellEnd"/>
      <w:r>
        <w:rPr>
          <w:color w:val="000000"/>
        </w:rPr>
        <w:t xml:space="preserve"> learning en NER especializado (Lee et al., 2020).</w:t>
      </w:r>
    </w:p>
    <w:p w14:paraId="724C0F8C" w14:textId="77777777" w:rsidR="00855464" w:rsidRDefault="00000000">
      <w:pPr>
        <w:spacing w:after="200" w:line="360" w:lineRule="auto"/>
        <w:ind w:firstLine="720"/>
        <w:jc w:val="both"/>
      </w:pPr>
      <w:r>
        <w:rPr>
          <w:color w:val="000000"/>
        </w:rPr>
        <w:t xml:space="preserve">El contraste entre el aprendizaje efectivo de REP (F1=0.71) y el fracaso con NV (F1=0.04) ilumina una asimetría discursiva importante: el reconocimiento tiene patrones lingüísticos más estables y consistentes que la negación de victimización. El REP se realiza mediante fórmulas performativas relativamente acotadas — </w:t>
      </w:r>
      <w:r>
        <w:rPr>
          <w:color w:val="000000"/>
        </w:rPr>
        <w:lastRenderedPageBreak/>
        <w:t xml:space="preserve">'reconozco mi responsabilidad', 'pido perdón', 'acepto que los hechos ocurrieron como las víctimas los describen' — mientras que el NV se materializa en una diversidad de estrategias retóricas y contextos que requieren más datos para aprender. Esta diferencia en la </w:t>
      </w:r>
      <w:proofErr w:type="spellStart"/>
      <w:r>
        <w:rPr>
          <w:color w:val="000000"/>
        </w:rPr>
        <w:t>aprendibilidad</w:t>
      </w:r>
      <w:proofErr w:type="spellEnd"/>
      <w:r>
        <w:rPr>
          <w:color w:val="000000"/>
        </w:rPr>
        <w:t xml:space="preserve"> de los mecanismos es un hallazgo sustantivo sobre la asimetría de los mecanismos de violencia discursiva.</w:t>
      </w:r>
    </w:p>
    <w:p w14:paraId="6AFD69A3" w14:textId="77777777" w:rsidR="00855464" w:rsidRDefault="00000000">
      <w:pPr>
        <w:spacing w:after="200" w:line="360" w:lineRule="auto"/>
        <w:ind w:firstLine="720"/>
        <w:jc w:val="both"/>
      </w:pPr>
      <w:r>
        <w:rPr>
          <w:color w:val="000000"/>
        </w:rPr>
        <w:t xml:space="preserve">La versión definitiva CFH-BERT v2 usará esquema IO simplificado —eliminando las etiquetas B- que producen F1=0.00 por escasez de ejemplos— y un corpus anotado con acuerdo </w:t>
      </w:r>
      <w:proofErr w:type="spellStart"/>
      <w:r>
        <w:rPr>
          <w:color w:val="000000"/>
        </w:rPr>
        <w:t>inter-anotador</w:t>
      </w:r>
      <w:proofErr w:type="spellEnd"/>
      <w:r>
        <w:rPr>
          <w:color w:val="000000"/>
        </w:rPr>
        <w:t xml:space="preserve"> κ&gt;0.80 sobre al menos 500 fragmentos estratificados por corpus, sección y </w:t>
      </w:r>
      <w:proofErr w:type="spellStart"/>
      <w:r>
        <w:rPr>
          <w:color w:val="000000"/>
        </w:rPr>
        <w:t>subcaso</w:t>
      </w:r>
      <w:proofErr w:type="spellEnd"/>
      <w:r>
        <w:rPr>
          <w:color w:val="000000"/>
        </w:rPr>
        <w:t>. Se espera que con ese corpus el F1 de todas las categorías mejore significativamente, en particular NV y EBI.</w:t>
      </w:r>
    </w:p>
    <w:p w14:paraId="16CA951E" w14:textId="77777777" w:rsidR="00855464" w:rsidRDefault="00000000">
      <w:pPr>
        <w:pStyle w:val="Ttulo3"/>
      </w:pPr>
      <w:r>
        <w:t xml:space="preserve">6.1.3 El NV cuestionado y la lógica del metalenguaje </w:t>
      </w:r>
      <w:proofErr w:type="spellStart"/>
      <w:r>
        <w:t>citativo</w:t>
      </w:r>
      <w:proofErr w:type="spellEnd"/>
    </w:p>
    <w:p w14:paraId="74C75FF6" w14:textId="77777777" w:rsidR="00855464" w:rsidRDefault="00000000">
      <w:pPr>
        <w:spacing w:after="200" w:line="360" w:lineRule="auto"/>
        <w:ind w:firstLine="720"/>
        <w:jc w:val="both"/>
      </w:pPr>
      <w:r>
        <w:rPr>
          <w:color w:val="000000"/>
        </w:rPr>
        <w:t>El tercer hallazgo es que la Negación de Victimización del Corpus B (JEP, media=0.233) no difiere significativamente del Corpus A (0.239, p=0.028 con diferencia mínima de 0.006), y que la sección RECONOCIMIENTO —la más cargada de REP— tiene también el NV promedio más alto del Corpus B (0.316). Este resultado contradice la hipótesis intuitiva de que los documentos JEP deberían tener menor NV que la justicia ordinaria.</w:t>
      </w:r>
    </w:p>
    <w:p w14:paraId="1FB945D3" w14:textId="77777777" w:rsidR="00855464" w:rsidRDefault="00000000">
      <w:pPr>
        <w:spacing w:after="200" w:line="360" w:lineRule="auto"/>
        <w:ind w:firstLine="720"/>
        <w:jc w:val="both"/>
      </w:pPr>
      <w:r>
        <w:rPr>
          <w:color w:val="000000"/>
        </w:rPr>
        <w:t xml:space="preserve">La explicación de este aparente paradoja es el fenómeno del metalenguaje </w:t>
      </w:r>
      <w:proofErr w:type="spellStart"/>
      <w:r>
        <w:rPr>
          <w:color w:val="000000"/>
        </w:rPr>
        <w:t>citativo</w:t>
      </w:r>
      <w:proofErr w:type="spellEnd"/>
      <w:r>
        <w:rPr>
          <w:color w:val="000000"/>
        </w:rPr>
        <w:t xml:space="preserve">: los comparecientes y la Sala de Reconocimiento citan el vocabulario NV del expediente original —«fue presentado como guerrillero», «portaba armamento ilegal», «dio de baja al individuo»— precisamente para refutarlo. Esta estructura </w:t>
      </w:r>
      <w:proofErr w:type="spellStart"/>
      <w:r>
        <w:rPr>
          <w:color w:val="000000"/>
        </w:rPr>
        <w:t>citativa</w:t>
      </w:r>
      <w:proofErr w:type="spellEnd"/>
      <w:r>
        <w:rPr>
          <w:color w:val="000000"/>
        </w:rPr>
        <w:t xml:space="preserve"> es lingüísticamente idéntica al NV original desde el punto de vista léxico, pero pragmáticamente opuesta: su función no es legitimar la muerte del civil sino documentar el encubrimiento para denunciarlo.</w:t>
      </w:r>
    </w:p>
    <w:p w14:paraId="21B86108" w14:textId="77777777" w:rsidR="00855464" w:rsidRDefault="00000000">
      <w:pPr>
        <w:spacing w:after="200" w:line="360" w:lineRule="auto"/>
        <w:ind w:firstLine="720"/>
        <w:jc w:val="both"/>
      </w:pPr>
      <w:r>
        <w:rPr>
          <w:color w:val="000000"/>
        </w:rPr>
        <w:t xml:space="preserve">El extractor y₄ maneja parcialmente este fenómeno mediante el factor de reducción de peso de 0.25 para instancias NV detectadas en contexto de cuestionamiento. Sin embargo, el umbral de ventana de contexto (150 caracteres) y </w:t>
      </w:r>
      <w:r>
        <w:rPr>
          <w:color w:val="000000"/>
        </w:rPr>
        <w:lastRenderedPageBreak/>
        <w:t>los patrones de cuestionamiento del diccionario actual capturan solo las formas más explícitas de cuestionamiento. El fine-</w:t>
      </w:r>
      <w:proofErr w:type="spellStart"/>
      <w:r>
        <w:rPr>
          <w:color w:val="000000"/>
        </w:rPr>
        <w:t>tuning</w:t>
      </w:r>
      <w:proofErr w:type="spellEnd"/>
      <w:r>
        <w:rPr>
          <w:color w:val="000000"/>
        </w:rPr>
        <w:t xml:space="preserve"> de CFH-BERT sobre el corpus anotado permitirá una distinción más precisa entre NV puro y NV cuestionado, aumentando la sensibilidad del modelo a este fenómeno central en el corpus JEP.</w:t>
      </w:r>
    </w:p>
    <w:p w14:paraId="396F3E48" w14:textId="77777777" w:rsidR="00855464" w:rsidRDefault="00000000">
      <w:pPr>
        <w:pStyle w:val="Ttulo3"/>
      </w:pPr>
      <w:r>
        <w:t xml:space="preserve">6.1.4 La supresión de </w:t>
      </w:r>
      <w:proofErr w:type="spellStart"/>
      <w:r>
        <w:t>agentividad</w:t>
      </w:r>
      <w:proofErr w:type="spellEnd"/>
      <w:r>
        <w:t xml:space="preserve"> como convención jurídica transversal</w:t>
      </w:r>
    </w:p>
    <w:p w14:paraId="7BB529D8" w14:textId="77777777" w:rsidR="00855464" w:rsidRDefault="00000000">
      <w:pPr>
        <w:spacing w:after="200" w:line="360" w:lineRule="auto"/>
        <w:ind w:firstLine="720"/>
        <w:jc w:val="both"/>
      </w:pPr>
      <w:r>
        <w:rPr>
          <w:color w:val="000000"/>
        </w:rPr>
        <w:t>El cuarto hallazgo —el más contraintuitivo y teóricamente relevante— es que el SA Score no difiere significativamente entre la justicia ordinaria (0.885) y la JEP (0.913), con p=0.934 (</w:t>
      </w:r>
      <w:proofErr w:type="spellStart"/>
      <w:r>
        <w:rPr>
          <w:color w:val="000000"/>
        </w:rPr>
        <w:t>n.s.</w:t>
      </w:r>
      <w:proofErr w:type="spellEnd"/>
      <w:r>
        <w:rPr>
          <w:color w:val="000000"/>
        </w:rPr>
        <w:t xml:space="preserve">). La supresión de </w:t>
      </w:r>
      <w:proofErr w:type="spellStart"/>
      <w:r>
        <w:rPr>
          <w:color w:val="000000"/>
        </w:rPr>
        <w:t>agentividad</w:t>
      </w:r>
      <w:proofErr w:type="spellEnd"/>
      <w:r>
        <w:rPr>
          <w:color w:val="000000"/>
        </w:rPr>
        <w:t xml:space="preserve"> es, según este resultado, una característica del lenguaje jurídico-institucional colombiano transversal a los dos sistemas, no un mecanismo exclusivo de la violencia discursiva ordinaria.</w:t>
      </w:r>
    </w:p>
    <w:p w14:paraId="70132D91" w14:textId="77777777" w:rsidR="00855464" w:rsidRDefault="00000000">
      <w:pPr>
        <w:spacing w:after="200" w:line="360" w:lineRule="auto"/>
        <w:ind w:firstLine="720"/>
        <w:jc w:val="both"/>
      </w:pPr>
      <w:r>
        <w:rPr>
          <w:color w:val="000000"/>
        </w:rPr>
        <w:t>Esta interpretación matiza el marco teórico de Galtung (1990) y van Dijk (2008) aplicado al corpus CFH. La SA tiene dos modalidades distintas que el extractor y₂ actual no discrimina: la SA encubridora —«fue dado de baja», «se procedió conforme al protocolo», que ocultan deliberadamente al responsable del crimen— y la SA institucional-neutral —«el Tribunal consideró», «se ordenó la reparación», que son convenciones del género textual jurídico sin función de encubrimiento. El lenguaje jurídico favorece estructuralmente las construcciones pasivas y las nominalizaciones en todos sus géneros, lo que produce un SA basal alto incluso en documentos de reconocimiento explícito.</w:t>
      </w:r>
    </w:p>
    <w:p w14:paraId="2AC7F54F" w14:textId="77777777" w:rsidR="00855464" w:rsidRDefault="00000000">
      <w:pPr>
        <w:spacing w:after="200" w:line="360" w:lineRule="auto"/>
        <w:ind w:firstLine="720"/>
        <w:jc w:val="both"/>
      </w:pPr>
      <w:r>
        <w:rPr>
          <w:color w:val="000000"/>
        </w:rPr>
        <w:t>La implicación para la revisión del marco teórico es que la SA como mecanismo de violencia cultural opera de forma distinta al EBI y al NV: mientras estos últimos requieren vocabulario específico del dominio bélico que es detectado con alta precisión por la taxonomía CFH, la SA requiere el análisis del contexto pragmático de las construcciones pasivas para distinguir encubrimiento de convención. Esta distinción se incorporará en el fine-</w:t>
      </w:r>
      <w:proofErr w:type="spellStart"/>
      <w:r>
        <w:rPr>
          <w:color w:val="000000"/>
        </w:rPr>
        <w:t>tuning</w:t>
      </w:r>
      <w:proofErr w:type="spellEnd"/>
      <w:r>
        <w:rPr>
          <w:color w:val="000000"/>
        </w:rPr>
        <w:t xml:space="preserve"> de CFH-BERT como una categoría de subcategorización de SA.</w:t>
      </w:r>
    </w:p>
    <w:p w14:paraId="541AA540" w14:textId="77777777" w:rsidR="00855464" w:rsidRDefault="00855464">
      <w:pPr>
        <w:spacing w:after="120"/>
      </w:pPr>
    </w:p>
    <w:p w14:paraId="1D426204" w14:textId="77777777" w:rsidR="00855464" w:rsidRDefault="00000000">
      <w:pPr>
        <w:pStyle w:val="Ttulo2"/>
      </w:pPr>
      <w:r>
        <w:t>6.2 Limitaciones de la investigación</w:t>
      </w:r>
    </w:p>
    <w:p w14:paraId="16B6FE29" w14:textId="77777777" w:rsidR="00855464" w:rsidRDefault="00000000">
      <w:pPr>
        <w:pStyle w:val="Ttulo3"/>
      </w:pPr>
      <w:r>
        <w:t>6.2.1 Limitaciones del corpus</w:t>
      </w:r>
    </w:p>
    <w:p w14:paraId="0541220C" w14:textId="77777777" w:rsidR="00855464" w:rsidRDefault="00000000">
      <w:pPr>
        <w:spacing w:after="200" w:line="360" w:lineRule="auto"/>
        <w:ind w:firstLine="720"/>
        <w:jc w:val="both"/>
      </w:pPr>
      <w:r>
        <w:rPr>
          <w:color w:val="000000"/>
        </w:rPr>
        <w:t>La principal limitación del corpus es el desequilibrio entre el Corpus A (n=819 secciones) y el Corpus B (n=54). Aunque la diferencia en REP Score es estadísticamente significativa, la asimetría de tamaño implica diferencias en potencia estadística: los efectos en el Corpus B son menos precisos que los del Corpus A. El Corpus C —audiencias orales— está en proceso de construcción y su ausencia limita el análisis de la dimensión multimodal de la transición epistémica. Una vez disponible, el Corpus C permitirá comparar el REP en contexto escrito (Corpus B) con el REP en contexto oral y dialógico, que es el más rico en actos performativos de reconocimiento.</w:t>
      </w:r>
    </w:p>
    <w:p w14:paraId="2EC3CDD9" w14:textId="77777777" w:rsidR="00855464" w:rsidRDefault="00000000">
      <w:pPr>
        <w:spacing w:after="200" w:line="360" w:lineRule="auto"/>
        <w:ind w:firstLine="720"/>
        <w:jc w:val="both"/>
      </w:pPr>
      <w:r>
        <w:rPr>
          <w:color w:val="000000"/>
        </w:rPr>
        <w:t xml:space="preserve">Un segundo problema es la presencia de documentos del Corpus A con el campo </w:t>
      </w:r>
      <w:proofErr w:type="spellStart"/>
      <w:r>
        <w:rPr>
          <w:color w:val="000000"/>
        </w:rPr>
        <w:t>corpus_type</w:t>
      </w:r>
      <w:proofErr w:type="spellEnd"/>
      <w:r>
        <w:rPr>
          <w:color w:val="000000"/>
        </w:rPr>
        <w:t xml:space="preserve">=B en los metadatos del pipeline de ingesta original — 29 de 819 filas estaban mal etiquetadas. Este error fue corregido en el </w:t>
      </w:r>
      <w:proofErr w:type="spellStart"/>
      <w:r>
        <w:rPr>
          <w:color w:val="000000"/>
        </w:rPr>
        <w:t>feature</w:t>
      </w:r>
      <w:proofErr w:type="spellEnd"/>
      <w:r>
        <w:rPr>
          <w:color w:val="000000"/>
        </w:rPr>
        <w:t xml:space="preserve"> pipeline, pero evidencia una limitación del </w:t>
      </w:r>
      <w:proofErr w:type="spellStart"/>
      <w:r>
        <w:rPr>
          <w:color w:val="000000"/>
        </w:rPr>
        <w:t>segmentador</w:t>
      </w:r>
      <w:proofErr w:type="spellEnd"/>
      <w:r>
        <w:rPr>
          <w:color w:val="000000"/>
        </w:rPr>
        <w:t xml:space="preserve"> original: los nombres de sección CONSIDERACIONES y DECISIÓN aparecen en ambos sistemas, produciendo ambigüedad en la clasificación automática. El </w:t>
      </w:r>
      <w:proofErr w:type="spellStart"/>
      <w:r>
        <w:rPr>
          <w:color w:val="000000"/>
        </w:rPr>
        <w:t>segmentador</w:t>
      </w:r>
      <w:proofErr w:type="spellEnd"/>
      <w:r>
        <w:rPr>
          <w:color w:val="000000"/>
        </w:rPr>
        <w:t xml:space="preserve"> v5 incorporará la ruta del directorio de origen como variable de control para eliminar esta ambigüedad.</w:t>
      </w:r>
    </w:p>
    <w:p w14:paraId="28BCCD1C" w14:textId="77777777" w:rsidR="00855464" w:rsidRDefault="00000000">
      <w:pPr>
        <w:pStyle w:val="Ttulo3"/>
      </w:pPr>
      <w:r>
        <w:t>6.2.2 Limitaciones de los extractores</w:t>
      </w:r>
    </w:p>
    <w:p w14:paraId="6E156564" w14:textId="77777777" w:rsidR="00855464" w:rsidRDefault="00000000">
      <w:pPr>
        <w:spacing w:after="200" w:line="360" w:lineRule="auto"/>
        <w:ind w:firstLine="720"/>
        <w:jc w:val="both"/>
      </w:pPr>
      <w:r>
        <w:rPr>
          <w:color w:val="000000"/>
        </w:rPr>
        <w:t>La principal limitación técnica de los extractores actuales es la ausencia de fine-</w:t>
      </w:r>
      <w:proofErr w:type="spellStart"/>
      <w:r>
        <w:rPr>
          <w:color w:val="000000"/>
        </w:rPr>
        <w:t>tuning</w:t>
      </w:r>
      <w:proofErr w:type="spellEnd"/>
      <w:r>
        <w:rPr>
          <w:color w:val="000000"/>
        </w:rPr>
        <w:t xml:space="preserve"> supervisado. Los extractores y₂, y₃, y₄ e y₁₀ fueron construidos con patrones léxicos, reglas sintácticas </w:t>
      </w:r>
      <w:proofErr w:type="spellStart"/>
      <w:r>
        <w:rPr>
          <w:color w:val="000000"/>
        </w:rPr>
        <w:t>spaCy</w:t>
      </w:r>
      <w:proofErr w:type="spellEnd"/>
      <w:r>
        <w:rPr>
          <w:color w:val="000000"/>
        </w:rPr>
        <w:t xml:space="preserve"> y TF-IDF, sin entrenamiento supervisado sobre el corpus anotado CFH. Esto implica que los normalizadores usan parámetros de calibración por defecto (empíricos) en lugar de parámetros calibrados sobre la distribución real del corpus. La calibración se realizará una vez completada la anotación con protocolo IAA.</w:t>
      </w:r>
    </w:p>
    <w:p w14:paraId="45DF8C56" w14:textId="77777777" w:rsidR="00855464" w:rsidRDefault="00000000">
      <w:pPr>
        <w:spacing w:after="200" w:line="360" w:lineRule="auto"/>
        <w:ind w:firstLine="720"/>
        <w:jc w:val="both"/>
      </w:pPr>
      <w:r>
        <w:rPr>
          <w:color w:val="000000"/>
        </w:rPr>
        <w:lastRenderedPageBreak/>
        <w:t xml:space="preserve">El extractor y₁ (EBI Score) usa </w:t>
      </w:r>
      <w:proofErr w:type="spellStart"/>
      <w:r>
        <w:rPr>
          <w:color w:val="000000"/>
        </w:rPr>
        <w:t>ConfliBERT</w:t>
      </w:r>
      <w:proofErr w:type="spellEnd"/>
      <w:r>
        <w:rPr>
          <w:color w:val="000000"/>
        </w:rPr>
        <w:t>-Spanish sin fine-</w:t>
      </w:r>
      <w:proofErr w:type="spellStart"/>
      <w:r>
        <w:rPr>
          <w:color w:val="000000"/>
        </w:rPr>
        <w:t>tuning</w:t>
      </w:r>
      <w:proofErr w:type="spellEnd"/>
      <w:r>
        <w:rPr>
          <w:color w:val="000000"/>
        </w:rPr>
        <w:t xml:space="preserve"> — los scores EBI actuales son </w:t>
      </w:r>
      <w:proofErr w:type="spellStart"/>
      <w:r>
        <w:rPr>
          <w:color w:val="000000"/>
        </w:rPr>
        <w:t>placeholders</w:t>
      </w:r>
      <w:proofErr w:type="spellEnd"/>
      <w:r>
        <w:rPr>
          <w:color w:val="000000"/>
        </w:rPr>
        <w:t xml:space="preserve"> con valor 0.0 en todos los documentos procesados. El fine-</w:t>
      </w:r>
      <w:proofErr w:type="spellStart"/>
      <w:r>
        <w:rPr>
          <w:color w:val="000000"/>
        </w:rPr>
        <w:t>tuning</w:t>
      </w:r>
      <w:proofErr w:type="spellEnd"/>
      <w:r>
        <w:rPr>
          <w:color w:val="000000"/>
        </w:rPr>
        <w:t xml:space="preserve"> de CFH-BERT sobre el corpus anotado (clasificador de tokens </w:t>
      </w:r>
      <w:proofErr w:type="spellStart"/>
      <w:r>
        <w:rPr>
          <w:color w:val="000000"/>
        </w:rPr>
        <w:t>multi-clase</w:t>
      </w:r>
      <w:proofErr w:type="spellEnd"/>
      <w:r>
        <w:rPr>
          <w:color w:val="000000"/>
        </w:rPr>
        <w:t xml:space="preserve"> con 4 categorías) es la tarea técnica más crítica del proyecto y el principal cuello de botella para la estimación del modelo SEM completo.</w:t>
      </w:r>
    </w:p>
    <w:p w14:paraId="2C17A55F" w14:textId="77777777" w:rsidR="00855464" w:rsidRDefault="00000000">
      <w:pPr>
        <w:spacing w:after="200" w:line="360" w:lineRule="auto"/>
        <w:ind w:firstLine="720"/>
        <w:jc w:val="both"/>
      </w:pPr>
      <w:r>
        <w:rPr>
          <w:color w:val="000000"/>
        </w:rPr>
        <w:t xml:space="preserve">La ventana de truncado de 8.000 caracteres por sección —implementada por limitaciones de velocidad de </w:t>
      </w:r>
      <w:proofErr w:type="spellStart"/>
      <w:r>
        <w:rPr>
          <w:color w:val="000000"/>
        </w:rPr>
        <w:t>spaCy</w:t>
      </w:r>
      <w:proofErr w:type="spellEnd"/>
      <w:r>
        <w:rPr>
          <w:color w:val="000000"/>
        </w:rPr>
        <w:t xml:space="preserve"> en CPU— implica que secciones más largas son analizadas parcialmente. Para el corpus B, donde algunos documentos superan el millón de caracteres, esto puede introducir sesgos sistemáticos si la señal discursiva no se distribuye uniformemente en la sección. La versión final del pipeline implementará análisis por subsección sin truncado, utilizando un servidor </w:t>
      </w:r>
      <w:proofErr w:type="spellStart"/>
      <w:r>
        <w:rPr>
          <w:color w:val="000000"/>
        </w:rPr>
        <w:t>RunPod</w:t>
      </w:r>
      <w:proofErr w:type="spellEnd"/>
      <w:r>
        <w:rPr>
          <w:color w:val="000000"/>
        </w:rPr>
        <w:t xml:space="preserve"> con GPU para el procesamiento completo.</w:t>
      </w:r>
    </w:p>
    <w:p w14:paraId="222FF718" w14:textId="77777777" w:rsidR="00855464" w:rsidRDefault="00000000">
      <w:pPr>
        <w:pStyle w:val="Ttulo3"/>
      </w:pPr>
      <w:r>
        <w:t>6.2.3 Limitaciones estadísticas</w:t>
      </w:r>
    </w:p>
    <w:p w14:paraId="2527156F" w14:textId="77777777" w:rsidR="00855464" w:rsidRDefault="00000000">
      <w:pPr>
        <w:spacing w:after="200" w:line="360" w:lineRule="auto"/>
        <w:ind w:firstLine="720"/>
        <w:jc w:val="both"/>
      </w:pPr>
      <w:r>
        <w:rPr>
          <w:color w:val="000000"/>
        </w:rPr>
        <w:t xml:space="preserve">Como se discutió en la nota metodológica del capítulo 5, </w:t>
      </w:r>
      <w:proofErr w:type="gramStart"/>
      <w:r>
        <w:rPr>
          <w:color w:val="000000"/>
        </w:rPr>
        <w:t>el test</w:t>
      </w:r>
      <w:proofErr w:type="gramEnd"/>
      <w:r>
        <w:rPr>
          <w:color w:val="000000"/>
        </w:rPr>
        <w:t xml:space="preserve"> Mann-Whitney U utilizado en el análisis comparativo exploratorio tiene el supuesto de independencia de observaciones parcialmente comprometido por la estructura anidada del corpus (secciones dentro de documentos). La prueba confirmatoria principal de H₃ es el análisis </w:t>
      </w:r>
      <w:proofErr w:type="spellStart"/>
      <w:r>
        <w:rPr>
          <w:color w:val="000000"/>
        </w:rPr>
        <w:t>multi-grupo</w:t>
      </w:r>
      <w:proofErr w:type="spellEnd"/>
      <w:r>
        <w:rPr>
          <w:color w:val="000000"/>
        </w:rPr>
        <w:t xml:space="preserve"> del modelo SEM (MG-SEM), que maneja adecuadamente esta estructura. Los </w:t>
      </w:r>
      <w:proofErr w:type="spellStart"/>
      <w:r>
        <w:rPr>
          <w:color w:val="000000"/>
        </w:rPr>
        <w:t>tests</w:t>
      </w:r>
      <w:proofErr w:type="spellEnd"/>
      <w:r>
        <w:rPr>
          <w:color w:val="000000"/>
        </w:rPr>
        <w:t xml:space="preserve"> Mann-Whitney reportados son análisis exploratorios preliminares que orientan la interpretación, no pruebas confirmatorias.</w:t>
      </w:r>
    </w:p>
    <w:p w14:paraId="676E0243" w14:textId="77777777" w:rsidR="00855464" w:rsidRDefault="00000000">
      <w:pPr>
        <w:pStyle w:val="Ttulo3"/>
      </w:pPr>
      <w:r>
        <w:t>6.2.4 Limitaciones epistemológicas y éticas</w:t>
      </w:r>
    </w:p>
    <w:p w14:paraId="0259B45D" w14:textId="77777777" w:rsidR="00855464" w:rsidRDefault="00000000">
      <w:pPr>
        <w:spacing w:after="200" w:line="360" w:lineRule="auto"/>
        <w:ind w:firstLine="720"/>
        <w:jc w:val="both"/>
      </w:pPr>
      <w:r>
        <w:rPr>
          <w:color w:val="000000"/>
        </w:rPr>
        <w:t>Una limitación conceptual significativa concierne a la comparabilidad de géneros textuales. Las sentencias del Consejo de Estado, las decisiones penales de la CSJ y los autos de la JEP pertenecen a géneros distintos con funciones pragmáticas, audiencias y restricciones retóricas diferentes (</w:t>
      </w:r>
      <w:proofErr w:type="spellStart"/>
      <w:r>
        <w:rPr>
          <w:color w:val="000000"/>
        </w:rPr>
        <w:t>Swales</w:t>
      </w:r>
      <w:proofErr w:type="spellEnd"/>
      <w:r>
        <w:rPr>
          <w:color w:val="000000"/>
        </w:rPr>
        <w:t xml:space="preserve">, 1990; </w:t>
      </w:r>
      <w:proofErr w:type="spellStart"/>
      <w:r>
        <w:rPr>
          <w:color w:val="000000"/>
        </w:rPr>
        <w:t>Bhatia</w:t>
      </w:r>
      <w:proofErr w:type="spellEnd"/>
      <w:r>
        <w:rPr>
          <w:color w:val="000000"/>
        </w:rPr>
        <w:t xml:space="preserve">, 1993). Esta diferencia de género podría explicar parte de la brecha discursiva observada con independencia de la hipótesis sobre la transición epistémica. Sin </w:t>
      </w:r>
      <w:r>
        <w:rPr>
          <w:color w:val="000000"/>
        </w:rPr>
        <w:lastRenderedPageBreak/>
        <w:t xml:space="preserve">embargo, esta objeción es precisamente el fenómeno de interés: la CFH no presupone que los géneros sean </w:t>
      </w:r>
      <w:proofErr w:type="gramStart"/>
      <w:r>
        <w:rPr>
          <w:color w:val="000000"/>
        </w:rPr>
        <w:t>equivalentes</w:t>
      </w:r>
      <w:proofErr w:type="gramEnd"/>
      <w:r>
        <w:rPr>
          <w:color w:val="000000"/>
        </w:rPr>
        <w:t xml:space="preserve"> sino que mide la distancia entre ellos. Adicionalmente, la varianza interna dentro del Corpus A — donde CE y CSJ presentan diferencias significativas en REP (0.101 vs 0.059) pese a pertenecer al mismo sistema de justicia — indica que los extractores capturan algo más que diferencias de género textual.</w:t>
      </w:r>
    </w:p>
    <w:p w14:paraId="4668F61A" w14:textId="77777777" w:rsidR="00855464" w:rsidRDefault="00000000">
      <w:pPr>
        <w:spacing w:after="200" w:line="360" w:lineRule="auto"/>
        <w:ind w:firstLine="720"/>
        <w:jc w:val="both"/>
      </w:pPr>
      <w:r>
        <w:rPr>
          <w:color w:val="000000"/>
        </w:rPr>
        <w:t>Una segunda limitación epistemológica es la posibilidad de que la brecha discursiva sea un artefacto del mandato normativo de la JEP. El Acto Legislativo 01 de 2017 obliga explícitamente a los comparecientes a realizar reconocimientos de verdad y responsabilidad como condición para acceder a las sanciones propias. Este mandato podría explicar el REP elevado del Corpus B sin que exista una transición epistémica genuina — sería REP procesal, no REP epistémico. La respuesta empírica a esta objeción es la varianza interna del Corpus B: si el REP fuera únicamente producto del mandato, debería distribuirse uniformemente en todas las secciones. Sin embargo, la sección PATRONES_MACROCRIMINALES tiene REP=0.000 y la sección RECONOCIMIENTO tiene REP=0.191 con máximo=0.849. Esta heterogeneidad interna es incompatible con un artefacto normativo uniforme y sugiere que el extractor captura variación semántica real. La distinción operacional entre REP procesal y REP epistémico genuino es una línea de trabajo prioritaria para la versión definitiva del sistema.</w:t>
      </w:r>
    </w:p>
    <w:p w14:paraId="43B624A1" w14:textId="77777777" w:rsidR="00855464" w:rsidRDefault="00000000">
      <w:pPr>
        <w:spacing w:after="200" w:line="360" w:lineRule="auto"/>
        <w:ind w:firstLine="720"/>
        <w:jc w:val="both"/>
      </w:pPr>
      <w:r>
        <w:rPr>
          <w:color w:val="000000"/>
        </w:rPr>
        <w:t xml:space="preserve">Una tercera limitación, de naturaleza ética, concierne al uso de los testimonios de MAFAPO como corpus de referencia para construir el centroide semántico y₈. Los textos de MAFAPO utilizados son comunicados públicos, declaraciones ante medios e informes presentados a la JEP y la Comisión de la Verdad — producidos explícitamente para ser conocidos y citados. No se trata de testimonios privados ni de información sensible. Sin embargo, existe una tensión ética entre usar el lenguaje de las víctimas como referencia técnica y la participación directa de las organizaciones de víctimas en el diseño del sistema. La reparación algorítmica — que es la apuesta epistemológica de esta tesis — no puede </w:t>
      </w:r>
      <w:r>
        <w:rPr>
          <w:color w:val="000000"/>
        </w:rPr>
        <w:lastRenderedPageBreak/>
        <w:t>construirse sin la voz de las víctimas, pero tampoco puede instrumentalizarla. Como trabajo futuro se propone una fase de validación participativa con MAFAPO y otras organizaciones de víctimas del Caso 03, en la que las propias organizaciones evalúen si los resultados del sistema CFH son coherentes con su experiencia y sus demandas de reconocimiento. Esta validación transformaría la CFH de una herramienta técnica en un instrumento de construcción conjunta de conocimiento.</w:t>
      </w:r>
    </w:p>
    <w:p w14:paraId="3DA81585" w14:textId="77777777" w:rsidR="00855464" w:rsidRDefault="00855464">
      <w:pPr>
        <w:spacing w:after="120"/>
      </w:pPr>
    </w:p>
    <w:p w14:paraId="744E71C5" w14:textId="77777777" w:rsidR="00855464" w:rsidRDefault="00000000">
      <w:pPr>
        <w:spacing w:after="200" w:line="360" w:lineRule="auto"/>
        <w:ind w:firstLine="720"/>
        <w:jc w:val="both"/>
      </w:pPr>
      <w:r>
        <w:rPr>
          <w:color w:val="000000"/>
        </w:rPr>
        <w:t>La investigación abre cinco líneas de trabajo futuro en el corto, mediano y largo plazo:</w:t>
      </w:r>
    </w:p>
    <w:p w14:paraId="006F8656" w14:textId="77777777" w:rsidR="00855464" w:rsidRDefault="00000000">
      <w:pPr>
        <w:spacing w:after="200" w:line="360" w:lineRule="auto"/>
        <w:ind w:firstLine="720"/>
        <w:jc w:val="both"/>
      </w:pPr>
      <w:r>
        <w:rPr>
          <w:b/>
          <w:bCs/>
          <w:color w:val="000000"/>
        </w:rPr>
        <w:t xml:space="preserve">Corto plazo (antes de agosto 2026): </w:t>
      </w:r>
      <w:r>
        <w:rPr>
          <w:color w:val="000000"/>
        </w:rPr>
        <w:t>completar la anotación con IAA (κ &gt; 0.80) sobre 500 fragmentos para CFH-BERT v2. Implementar el análisis de control temporal — comparando documentos del Corpus A del período 2018-2023 con el Corpus B contemporáneo — para verificar que la brecha discursiva es estructural y no un artefacto del período histórico. Estimar el MG-SEM de dos factores por subsistema (CE, CSJ, JEP) para la prueba de invarianza de medición. Desarrollar el lexicón de REP procesal obligatorio vs. REP epistémico voluntario para responder la objeción del mandato normativo.</w:t>
      </w:r>
    </w:p>
    <w:p w14:paraId="518136C8" w14:textId="77777777" w:rsidR="00855464" w:rsidRDefault="00000000">
      <w:pPr>
        <w:spacing w:after="200" w:line="360" w:lineRule="auto"/>
        <w:ind w:firstLine="720"/>
        <w:jc w:val="both"/>
      </w:pPr>
      <w:r>
        <w:rPr>
          <w:b/>
          <w:bCs/>
          <w:color w:val="000000"/>
        </w:rPr>
        <w:t xml:space="preserve">Mediano plazo (2026-2027): </w:t>
      </w:r>
      <w:r>
        <w:rPr>
          <w:color w:val="000000"/>
        </w:rPr>
        <w:t xml:space="preserve">análisis del Corpus C con las 5 audiencias JEP ya transcritas (45.9 horas, 1.17M </w:t>
      </w:r>
      <w:proofErr w:type="spellStart"/>
      <w:r>
        <w:rPr>
          <w:color w:val="000000"/>
        </w:rPr>
        <w:t>chars</w:t>
      </w:r>
      <w:proofErr w:type="spellEnd"/>
      <w:r>
        <w:rPr>
          <w:color w:val="000000"/>
        </w:rPr>
        <w:t xml:space="preserve">). Implementar </w:t>
      </w:r>
      <w:proofErr w:type="spellStart"/>
      <w:r>
        <w:rPr>
          <w:color w:val="000000"/>
        </w:rPr>
        <w:t>diarización</w:t>
      </w:r>
      <w:proofErr w:type="spellEnd"/>
      <w:r>
        <w:rPr>
          <w:color w:val="000000"/>
        </w:rPr>
        <w:t xml:space="preserve"> de hablantes con </w:t>
      </w:r>
      <w:proofErr w:type="spellStart"/>
      <w:r>
        <w:rPr>
          <w:color w:val="000000"/>
        </w:rPr>
        <w:t>pyannote</w:t>
      </w:r>
      <w:proofErr w:type="spellEnd"/>
      <w:r>
        <w:rPr>
          <w:color w:val="000000"/>
        </w:rPr>
        <w:t xml:space="preserve">-audio para distinguir los turnos de comparecientes, magistrados y víctimas — respondiendo la limitación sobre la voz narrativa no identificada en los documentos escritos. Extraer features acústicas con </w:t>
      </w:r>
      <w:proofErr w:type="spellStart"/>
      <w:r>
        <w:rPr>
          <w:color w:val="000000"/>
        </w:rPr>
        <w:t>OpenSMILE</w:t>
      </w:r>
      <w:proofErr w:type="spellEnd"/>
      <w:r>
        <w:rPr>
          <w:color w:val="000000"/>
        </w:rPr>
        <w:t xml:space="preserve"> (y₁₂). Iniciar la fase de validación participativa con MAFAPO para evaluar la coherencia de los resultados CFH con la experiencia y las demandas de las organizaciones de víctimas.</w:t>
      </w:r>
    </w:p>
    <w:p w14:paraId="651F7092" w14:textId="77777777" w:rsidR="00855464" w:rsidRDefault="00000000">
      <w:pPr>
        <w:spacing w:after="200" w:line="360" w:lineRule="auto"/>
        <w:ind w:firstLine="720"/>
        <w:jc w:val="both"/>
      </w:pPr>
      <w:r>
        <w:rPr>
          <w:b/>
          <w:bCs/>
          <w:color w:val="000000"/>
        </w:rPr>
        <w:t xml:space="preserve">Largo plazo: </w:t>
      </w:r>
      <w:r>
        <w:rPr>
          <w:color w:val="000000"/>
        </w:rPr>
        <w:t xml:space="preserve">extensión de la CFH a otros archivos judiciales de posconflicto — Guatemala (Comisión de Esclarecimiento Histórico), Argentina (CONADEP), </w:t>
      </w:r>
      <w:proofErr w:type="spellStart"/>
      <w:r>
        <w:rPr>
          <w:color w:val="000000"/>
        </w:rPr>
        <w:t>Rwanda</w:t>
      </w:r>
      <w:proofErr w:type="spellEnd"/>
      <w:r>
        <w:rPr>
          <w:color w:val="000000"/>
        </w:rPr>
        <w:t xml:space="preserve"> (Gacaca) — para evaluar si el modelo de brecha discursiva </w:t>
      </w:r>
      <w:r>
        <w:rPr>
          <w:color w:val="000000"/>
        </w:rPr>
        <w:lastRenderedPageBreak/>
        <w:t>generaliza a otros contextos de justicia transicional y construir un índice comparativo internacional de injusticia discursiva.</w:t>
      </w:r>
    </w:p>
    <w:p w14:paraId="022E7526" w14:textId="77777777" w:rsidR="00855464" w:rsidRDefault="00000000">
      <w:pPr>
        <w:spacing w:after="200" w:line="360" w:lineRule="auto"/>
        <w:ind w:firstLine="720"/>
        <w:jc w:val="both"/>
      </w:pPr>
      <w:r>
        <w:rPr>
          <w:b/>
          <w:bCs/>
          <w:color w:val="000000"/>
        </w:rPr>
        <w:t xml:space="preserve">Trabajo futuro en modelado: </w:t>
      </w:r>
      <w:r>
        <w:rPr>
          <w:color w:val="000000"/>
        </w:rPr>
        <w:t>la arquitectura Titans (</w:t>
      </w:r>
      <w:proofErr w:type="spellStart"/>
      <w:r>
        <w:rPr>
          <w:color w:val="000000"/>
        </w:rPr>
        <w:t>memory-augmented</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Behrouz</w:t>
      </w:r>
      <w:proofErr w:type="spellEnd"/>
      <w:r>
        <w:rPr>
          <w:color w:val="000000"/>
        </w:rPr>
        <w:t xml:space="preserve"> et al., 2024), propuesta originalmente como alternativa a los Transformers para el análisis de las 2.400 horas de audiencias JEP, se propone como trabajo futuro para el procesamiento de los flujos audiovisuales continuos del Corpus C. A diferencia del SEM —que es el marco analítico principal de la tesis— Titans operaría como un pipeline de </w:t>
      </w:r>
      <w:proofErr w:type="spellStart"/>
      <w:r>
        <w:rPr>
          <w:color w:val="000000"/>
        </w:rPr>
        <w:t>pre-procesamiento</w:t>
      </w:r>
      <w:proofErr w:type="spellEnd"/>
      <w:r>
        <w:rPr>
          <w:color w:val="000000"/>
        </w:rPr>
        <w:t xml:space="preserve"> multimodal que alimenta los indicadores y₁₂ del modelo SEM.</w:t>
      </w:r>
    </w:p>
    <w:p w14:paraId="4B50D9B1" w14:textId="77777777" w:rsidR="00855464" w:rsidRDefault="00000000">
      <w:pPr>
        <w:spacing w:after="200" w:line="360" w:lineRule="auto"/>
        <w:ind w:firstLine="720"/>
        <w:jc w:val="both"/>
      </w:pPr>
      <w:r>
        <w:rPr>
          <w:b/>
          <w:bCs/>
          <w:color w:val="000000"/>
        </w:rPr>
        <w:t xml:space="preserve">Aplicaciones de política pública: </w:t>
      </w:r>
      <w:r>
        <w:rPr>
          <w:color w:val="000000"/>
        </w:rPr>
        <w:t>el DIS Score tiene potencial como indicador de monitoreo de la calidad epistémica de los procesos de justicia transicional, tanto en Colombia como en otros contextos. Una versión operativa de la CFH, calibrada y validada, podría integrarse en los sistemas de monitoreo de la JEP para evaluar en tiempo real si los reconocimientos cumplen los estándares de verdad completa y detallada exigidos por el Acuerdo de Paz.</w:t>
      </w:r>
    </w:p>
    <w:p w14:paraId="77BC3F8E" w14:textId="77777777" w:rsidR="00855464" w:rsidRDefault="00855464">
      <w:pPr>
        <w:spacing w:after="120"/>
      </w:pPr>
    </w:p>
    <w:p w14:paraId="0BDF1CC8" w14:textId="77777777" w:rsidR="00855464" w:rsidRDefault="00000000">
      <w:pPr>
        <w:pStyle w:val="Ttulo2"/>
      </w:pPr>
      <w:r>
        <w:t>6.4 Conclusiones</w:t>
      </w:r>
    </w:p>
    <w:p w14:paraId="095FD13E" w14:textId="77777777" w:rsidR="00855464" w:rsidRDefault="00000000">
      <w:pPr>
        <w:spacing w:after="200" w:line="360" w:lineRule="auto"/>
        <w:ind w:firstLine="720"/>
        <w:jc w:val="both"/>
      </w:pPr>
      <w:r>
        <w:rPr>
          <w:color w:val="000000"/>
        </w:rPr>
        <w:t>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14:paraId="3BEAEDEC" w14:textId="77777777" w:rsidR="00855464" w:rsidRDefault="00000000">
      <w:pPr>
        <w:spacing w:after="200" w:line="360" w:lineRule="auto"/>
        <w:ind w:firstLine="720"/>
        <w:jc w:val="both"/>
      </w:pPr>
      <w:r>
        <w:rPr>
          <w:color w:val="000000"/>
        </w:rPr>
        <w:t xml:space="preserve">La primera contribución es conceptual: la operacionalización de los conceptos de violencia cultural (Galtung, 1990) y justicia como reconocimiento (Fraser, 1995) en indicadores computacionalmente extraíbles y estadísticamente modelables. El puente entre la teoría del discurso crítico y la ciencia de datos —que constituye la apuesta epistemológica central de la CFH— demostró ser fructífero: </w:t>
      </w:r>
      <w:r>
        <w:rPr>
          <w:color w:val="000000"/>
        </w:rPr>
        <w:lastRenderedPageBreak/>
        <w:t>los patrones que el análisis cualitativo del discurso describe en casos individuales son detectables y medibles a escala del corpus completo.</w:t>
      </w:r>
    </w:p>
    <w:p w14:paraId="3EB64BA1" w14:textId="77777777" w:rsidR="00855464" w:rsidRDefault="00000000">
      <w:pPr>
        <w:spacing w:after="200" w:line="360" w:lineRule="auto"/>
        <w:ind w:firstLine="720"/>
        <w:jc w:val="both"/>
      </w:pPr>
      <w:r>
        <w:rPr>
          <w:color w:val="000000"/>
        </w:rPr>
        <w:t xml:space="preserve">La segunda contribución es metodológica: el diseño e implementación de un pipeline de extracción de features que procesa 873 secciones judiciales en 20 minutos de CPU, sin requerir GPU para los indicadores léxico-sintácticos (y₂-y₆, y₁₀), con 143 </w:t>
      </w:r>
      <w:proofErr w:type="spellStart"/>
      <w:r>
        <w:rPr>
          <w:color w:val="000000"/>
        </w:rPr>
        <w:t>tests</w:t>
      </w:r>
      <w:proofErr w:type="spellEnd"/>
      <w:r>
        <w:rPr>
          <w:color w:val="000000"/>
        </w:rPr>
        <w:t xml:space="preserve"> unitarios pasando y un módulo SEM implementado en </w:t>
      </w:r>
      <w:proofErr w:type="spellStart"/>
      <w:r>
        <w:rPr>
          <w:color w:val="000000"/>
        </w:rPr>
        <w:t>semopy</w:t>
      </w:r>
      <w:proofErr w:type="spellEnd"/>
      <w:r>
        <w:rPr>
          <w:color w:val="000000"/>
        </w:rPr>
        <w:t xml:space="preserve"> que está listo para la estimación cuando se completen los indicadores de </w:t>
      </w:r>
      <w:proofErr w:type="spellStart"/>
      <w:r>
        <w:rPr>
          <w:color w:val="000000"/>
        </w:rPr>
        <w:t>embeddings</w:t>
      </w:r>
      <w:proofErr w:type="spellEnd"/>
      <w:r>
        <w:rPr>
          <w:color w:val="000000"/>
        </w:rPr>
        <w:t>. La apertura del código en GitHub garantiza la reproducibilidad y extensibilidad del sistema.</w:t>
      </w:r>
    </w:p>
    <w:p w14:paraId="7280319B" w14:textId="77777777" w:rsidR="00855464" w:rsidRDefault="00000000">
      <w:pPr>
        <w:spacing w:after="200" w:line="360" w:lineRule="auto"/>
        <w:ind w:firstLine="720"/>
        <w:jc w:val="both"/>
      </w:pPr>
      <w:r>
        <w:rPr>
          <w:color w:val="000000"/>
        </w:rPr>
        <w:t>La tercera contribución es empírica: los primeros resultados cuantitativos sobre la brecha discursiva entre la justicia ordinaria colombiana y la justicia transicional JEP. Cinco de seis indicadores CFH muestran diferencias estadísticamente significativas entre los dos corpus en la dirección predicha: el REP Score del corpus JEP es 78% mayor que el de la justicia ordinaria (0.153 vs 0.086, p&lt;0.001); el Corpus B está significativamente más cercano al lenguaje de MAFAPO (y₈, p&lt;0.001) y al lenguaje de la CIDH (y₉, p&lt;0.001); y la distancia al léxico civil es significativamente menor en el Corpus B (y₃, p&lt;0.001). Esta convergencia multimodal de cuatro indicadores independientes con p&lt;0.001 en la misma dirección constituye evidencia robusta de la existencia de una brecha discursiva real y cuantificable entre los dos sistemas de justicia. Al mismo tiempo, los hallazgos sobre la SA transversal y el NV cuestionado matizaron el marco teórico original: la transición epistémica opera principalmente a través del reconocimiento (REP), no de la reducción de los mecanismos de encubrimiento.</w:t>
      </w:r>
    </w:p>
    <w:p w14:paraId="3AFC0A82" w14:textId="77777777" w:rsidR="00855464" w:rsidRDefault="00000000">
      <w:pPr>
        <w:spacing w:after="200" w:line="360" w:lineRule="auto"/>
        <w:ind w:firstLine="720"/>
        <w:jc w:val="both"/>
      </w:pPr>
      <w:r>
        <w:rPr>
          <w:color w:val="000000"/>
        </w:rPr>
        <w:t xml:space="preserve">El veintidós de junio de dos mil ocho, </w:t>
      </w:r>
      <w:proofErr w:type="spellStart"/>
      <w:r>
        <w:rPr>
          <w:color w:val="000000"/>
        </w:rPr>
        <w:t>Fair</w:t>
      </w:r>
      <w:proofErr w:type="spellEnd"/>
      <w:r>
        <w:rPr>
          <w:color w:val="000000"/>
        </w:rPr>
        <w:t xml:space="preserve">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w:t>
      </w:r>
      <w:r>
        <w:rPr>
          <w:color w:val="000000"/>
        </w:rPr>
        <w:lastRenderedPageBreak/>
        <w:t>historia en el archivo del Estado. Es, también, un acto de fe en que esa distancia puede acortarse.</w:t>
      </w:r>
    </w:p>
    <w:p w14:paraId="722BF929" w14:textId="77777777" w:rsidR="00855464" w:rsidRDefault="00855464">
      <w:pPr>
        <w:spacing w:after="120"/>
      </w:pPr>
    </w:p>
    <w:p w14:paraId="1C02953B" w14:textId="77777777" w:rsidR="00855464" w:rsidRPr="00263331" w:rsidRDefault="00000000">
      <w:pPr>
        <w:spacing w:before="480" w:after="200"/>
        <w:rPr>
          <w:lang w:val="en-US"/>
        </w:rPr>
      </w:pPr>
      <w:r w:rsidRPr="00263331">
        <w:rPr>
          <w:b/>
          <w:bCs/>
          <w:color w:val="000000"/>
          <w:sz w:val="22"/>
          <w:szCs w:val="22"/>
          <w:lang w:val="en-US"/>
        </w:rPr>
        <w:t>Referencias del capítulo</w:t>
      </w:r>
    </w:p>
    <w:p w14:paraId="2A23AB50" w14:textId="77777777" w:rsidR="00855464" w:rsidRPr="00263331" w:rsidRDefault="00000000">
      <w:pPr>
        <w:spacing w:after="120"/>
        <w:ind w:left="720" w:hanging="720"/>
        <w:jc w:val="both"/>
        <w:rPr>
          <w:lang w:val="en-US"/>
        </w:rPr>
      </w:pPr>
      <w:r w:rsidRPr="00263331">
        <w:rPr>
          <w:color w:val="000000"/>
          <w:sz w:val="20"/>
          <w:szCs w:val="20"/>
          <w:lang w:val="en-US"/>
        </w:rPr>
        <w:t>Bhatia, V. K. (1993). Analysing Genre: Language Use in Professional Settings. Longman.</w:t>
      </w:r>
    </w:p>
    <w:p w14:paraId="356FDC5A" w14:textId="77777777" w:rsidR="00855464" w:rsidRPr="00263331" w:rsidRDefault="00000000">
      <w:pPr>
        <w:spacing w:after="120"/>
        <w:ind w:left="720" w:hanging="720"/>
        <w:jc w:val="both"/>
        <w:rPr>
          <w:lang w:val="en-US"/>
        </w:rPr>
      </w:pPr>
      <w:r w:rsidRPr="00263331">
        <w:rPr>
          <w:color w:val="000000"/>
          <w:sz w:val="20"/>
          <w:szCs w:val="20"/>
          <w:lang w:val="en-US"/>
        </w:rPr>
        <w:t>Behrouz, A., Zheng, P., y Mirrokni, V. (2024). Titans: Learning to Memorize at Test Time. arXiv:2501.00663.</w:t>
      </w:r>
    </w:p>
    <w:p w14:paraId="1F653CB1" w14:textId="77777777" w:rsidR="00855464" w:rsidRPr="00263331" w:rsidRDefault="00000000">
      <w:pPr>
        <w:spacing w:after="120"/>
        <w:ind w:left="720" w:hanging="720"/>
        <w:jc w:val="both"/>
        <w:rPr>
          <w:lang w:val="en-US"/>
        </w:rPr>
      </w:pPr>
      <w:r w:rsidRPr="00263331">
        <w:rPr>
          <w:color w:val="000000"/>
          <w:sz w:val="20"/>
          <w:szCs w:val="20"/>
          <w:lang w:val="en-US"/>
        </w:rPr>
        <w:t>Fraser, N. (1995). From redistribution to recognition? Dilemmas of justice in a 'post-socialist' age. New Left Review, 212, 68–93.</w:t>
      </w:r>
    </w:p>
    <w:p w14:paraId="09D61D88" w14:textId="77777777" w:rsidR="00855464" w:rsidRPr="00263331" w:rsidRDefault="00000000">
      <w:pPr>
        <w:spacing w:after="120"/>
        <w:ind w:left="720" w:hanging="720"/>
        <w:jc w:val="both"/>
        <w:rPr>
          <w:lang w:val="en-US"/>
        </w:rPr>
      </w:pPr>
      <w:r w:rsidRPr="00263331">
        <w:rPr>
          <w:color w:val="000000"/>
          <w:sz w:val="20"/>
          <w:szCs w:val="20"/>
          <w:lang w:val="en-US"/>
        </w:rPr>
        <w:t>Galtung, J. (1990). Cultural violence. Journal of Peace Research, 27(3), 291–305.</w:t>
      </w:r>
    </w:p>
    <w:p w14:paraId="7637ABF7" w14:textId="77777777" w:rsidR="00855464" w:rsidRPr="00263331" w:rsidRDefault="00000000">
      <w:pPr>
        <w:spacing w:after="120"/>
        <w:ind w:left="720" w:hanging="720"/>
        <w:jc w:val="both"/>
        <w:rPr>
          <w:lang w:val="en-US"/>
        </w:rPr>
      </w:pPr>
      <w:r w:rsidRPr="00263331">
        <w:rPr>
          <w:color w:val="000000"/>
          <w:sz w:val="20"/>
          <w:szCs w:val="20"/>
          <w:lang w:val="en-US"/>
        </w:rPr>
        <w:t>Igolkina, A. A. y Meshcheryakov, G. (2020). semopy: A Python package for Structural Equation Models. arXiv:2003.05838.</w:t>
      </w:r>
    </w:p>
    <w:p w14:paraId="50CD2076" w14:textId="77777777" w:rsidR="00855464" w:rsidRPr="00263331" w:rsidRDefault="00000000">
      <w:pPr>
        <w:spacing w:after="120"/>
        <w:ind w:left="720" w:hanging="720"/>
        <w:jc w:val="both"/>
        <w:rPr>
          <w:lang w:val="en-US"/>
        </w:rPr>
      </w:pPr>
      <w:r>
        <w:rPr>
          <w:color w:val="000000"/>
          <w:sz w:val="20"/>
          <w:szCs w:val="20"/>
        </w:rPr>
        <w:t xml:space="preserve">JEP — Jurisdicción Especial para la Paz. (2022). Resoluciones de Conclusiones No. 01 y 03 de 2022 — Caso 03. </w:t>
      </w:r>
      <w:r w:rsidRPr="00263331">
        <w:rPr>
          <w:color w:val="000000"/>
          <w:sz w:val="20"/>
          <w:szCs w:val="20"/>
          <w:lang w:val="en-US"/>
        </w:rPr>
        <w:t>SRVR.</w:t>
      </w:r>
    </w:p>
    <w:p w14:paraId="686320E9" w14:textId="77777777" w:rsidR="00855464" w:rsidRPr="00263331" w:rsidRDefault="00000000">
      <w:pPr>
        <w:spacing w:after="120"/>
        <w:ind w:left="720" w:hanging="720"/>
        <w:jc w:val="both"/>
        <w:rPr>
          <w:lang w:val="en-US"/>
        </w:rPr>
      </w:pPr>
      <w:r w:rsidRPr="00263331">
        <w:rPr>
          <w:color w:val="000000"/>
          <w:sz w:val="20"/>
          <w:szCs w:val="20"/>
          <w:lang w:val="en-US"/>
        </w:rPr>
        <w:t>Kline, R. B. (2023). Principles and Practice of Structural Equation Modeling (5.ª ed.). Guilford Press.</w:t>
      </w:r>
    </w:p>
    <w:p w14:paraId="3DF286E0" w14:textId="77777777" w:rsidR="00855464" w:rsidRPr="00263331" w:rsidRDefault="00000000">
      <w:pPr>
        <w:spacing w:after="120"/>
        <w:ind w:left="720" w:hanging="720"/>
        <w:jc w:val="both"/>
        <w:rPr>
          <w:lang w:val="en-US"/>
        </w:rPr>
      </w:pPr>
      <w:r w:rsidRPr="00263331">
        <w:rPr>
          <w:color w:val="000000"/>
          <w:sz w:val="20"/>
          <w:szCs w:val="20"/>
          <w:lang w:val="en-US"/>
        </w:rPr>
        <w:t>Noble, S. U. (2018). Algorithms of Oppression: How Search Engines Reinforce Racism. New York University Press.</w:t>
      </w:r>
    </w:p>
    <w:p w14:paraId="1C2D1F5C" w14:textId="77777777" w:rsidR="00855464" w:rsidRPr="00263331" w:rsidRDefault="00000000">
      <w:pPr>
        <w:spacing w:after="120"/>
        <w:ind w:left="720" w:hanging="720"/>
        <w:jc w:val="both"/>
        <w:rPr>
          <w:lang w:val="en-US"/>
        </w:rPr>
      </w:pPr>
      <w:r w:rsidRPr="00263331">
        <w:rPr>
          <w:color w:val="000000"/>
          <w:sz w:val="20"/>
          <w:szCs w:val="20"/>
          <w:lang w:val="en-US"/>
        </w:rPr>
        <w:t>Searle, J. R. (1969). Speech Acts: An Essay in the Philosophy of Language. Cambridge University Press.</w:t>
      </w:r>
    </w:p>
    <w:p w14:paraId="0A18DA0D" w14:textId="77777777" w:rsidR="00855464" w:rsidRPr="00263331" w:rsidRDefault="00000000">
      <w:pPr>
        <w:spacing w:after="120"/>
        <w:ind w:left="720" w:hanging="720"/>
        <w:jc w:val="both"/>
        <w:rPr>
          <w:lang w:val="en-US"/>
        </w:rPr>
      </w:pPr>
      <w:r w:rsidRPr="00263331">
        <w:rPr>
          <w:color w:val="000000"/>
          <w:sz w:val="20"/>
          <w:szCs w:val="20"/>
          <w:lang w:val="en-US"/>
        </w:rPr>
        <w:t>Swales, J. M. (1990). Genre Analysis: English in Academic and Research Settings. Cambridge University Press.</w:t>
      </w:r>
    </w:p>
    <w:p w14:paraId="7671DF17" w14:textId="77777777" w:rsidR="00855464" w:rsidRDefault="00000000">
      <w:pPr>
        <w:spacing w:after="120"/>
        <w:ind w:left="720" w:hanging="720"/>
        <w:jc w:val="both"/>
      </w:pPr>
      <w:r w:rsidRPr="00263331">
        <w:rPr>
          <w:color w:val="000000"/>
          <w:sz w:val="20"/>
          <w:szCs w:val="20"/>
          <w:lang w:val="en-US"/>
        </w:rPr>
        <w:t xml:space="preserve">van Dijk, T. A. (2008). Discourse and Power. </w:t>
      </w:r>
      <w:proofErr w:type="spellStart"/>
      <w:r>
        <w:rPr>
          <w:color w:val="000000"/>
          <w:sz w:val="20"/>
          <w:szCs w:val="20"/>
        </w:rPr>
        <w:t>Palgrave</w:t>
      </w:r>
      <w:proofErr w:type="spellEnd"/>
      <w:r>
        <w:rPr>
          <w:color w:val="000000"/>
          <w:sz w:val="20"/>
          <w:szCs w:val="20"/>
        </w:rPr>
        <w:t xml:space="preserve"> Macmillan.</w:t>
      </w:r>
    </w:p>
    <w:p w14:paraId="0988624E" w14:textId="77777777" w:rsidR="00855464" w:rsidRPr="00263331" w:rsidRDefault="00000000">
      <w:pPr>
        <w:spacing w:after="120"/>
        <w:ind w:left="720" w:hanging="720"/>
        <w:jc w:val="both"/>
        <w:rPr>
          <w:lang w:val="en-US"/>
        </w:rPr>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r w:rsidRPr="00263331">
        <w:rPr>
          <w:color w:val="000000"/>
          <w:sz w:val="20"/>
          <w:szCs w:val="20"/>
          <w:lang w:val="en-US"/>
        </w:rPr>
        <w:t>ConfliBERT: A Pre-trained Language Model for Political Conflict and Violence. IEEE CiSt 2023.</w:t>
      </w:r>
    </w:p>
    <w:p w14:paraId="50300202" w14:textId="77777777" w:rsidR="00855464" w:rsidRDefault="00000000">
      <w:pPr>
        <w:spacing w:after="120"/>
        <w:ind w:left="720" w:hanging="720"/>
        <w:jc w:val="both"/>
      </w:pPr>
      <w:r w:rsidRPr="00263331">
        <w:rPr>
          <w:color w:val="000000"/>
          <w:sz w:val="20"/>
          <w:szCs w:val="20"/>
          <w:lang w:val="en-US"/>
        </w:rPr>
        <w:t xml:space="preserve">Zehr, H. (2002). The Little Book of Restorative Justice. </w:t>
      </w:r>
      <w:r>
        <w:rPr>
          <w:color w:val="000000"/>
          <w:sz w:val="20"/>
          <w:szCs w:val="20"/>
        </w:rPr>
        <w:t xml:space="preserve">Good </w:t>
      </w:r>
      <w:proofErr w:type="spellStart"/>
      <w:r>
        <w:rPr>
          <w:color w:val="000000"/>
          <w:sz w:val="20"/>
          <w:szCs w:val="20"/>
        </w:rPr>
        <w:t>Books</w:t>
      </w:r>
      <w:proofErr w:type="spellEnd"/>
      <w:r>
        <w:rPr>
          <w:color w:val="000000"/>
          <w:sz w:val="20"/>
          <w:szCs w:val="20"/>
        </w:rPr>
        <w:t>.</w:t>
      </w:r>
    </w:p>
    <w:sectPr w:rsidR="00855464">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4EA34" w14:textId="77777777" w:rsidR="009752F7" w:rsidRDefault="009752F7">
      <w:r>
        <w:separator/>
      </w:r>
    </w:p>
  </w:endnote>
  <w:endnote w:type="continuationSeparator" w:id="0">
    <w:p w14:paraId="0EACDBFB" w14:textId="77777777" w:rsidR="009752F7" w:rsidRDefault="00975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B5E61" w14:textId="77777777" w:rsidR="00855464" w:rsidRDefault="00000000">
    <w:pPr>
      <w:jc w:val="center"/>
    </w:pPr>
    <w:r>
      <w:fldChar w:fldCharType="begin"/>
    </w:r>
    <w:r>
      <w:instrText>PAGE</w:instrText>
    </w:r>
    <w:r>
      <w:fldChar w:fldCharType="separate"/>
    </w:r>
    <w:r w:rsidR="002633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AA899" w14:textId="77777777" w:rsidR="009752F7" w:rsidRDefault="009752F7">
      <w:r>
        <w:separator/>
      </w:r>
    </w:p>
  </w:footnote>
  <w:footnote w:type="continuationSeparator" w:id="0">
    <w:p w14:paraId="2A6D9A64" w14:textId="77777777" w:rsidR="009752F7" w:rsidRDefault="00975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3A8D" w14:textId="77777777" w:rsidR="00855464"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A60835"/>
    <w:multiLevelType w:val="hybridMultilevel"/>
    <w:tmpl w:val="FEF49782"/>
    <w:lvl w:ilvl="0" w:tplc="F74E3738">
      <w:start w:val="1"/>
      <w:numFmt w:val="bullet"/>
      <w:lvlText w:val="•"/>
      <w:lvlJc w:val="left"/>
      <w:pPr>
        <w:ind w:left="720" w:hanging="360"/>
      </w:pPr>
    </w:lvl>
    <w:lvl w:ilvl="1" w:tplc="F0B27E6E">
      <w:numFmt w:val="decimal"/>
      <w:lvlText w:val=""/>
      <w:lvlJc w:val="left"/>
    </w:lvl>
    <w:lvl w:ilvl="2" w:tplc="C9CE6370">
      <w:numFmt w:val="decimal"/>
      <w:lvlText w:val=""/>
      <w:lvlJc w:val="left"/>
    </w:lvl>
    <w:lvl w:ilvl="3" w:tplc="38904E46">
      <w:numFmt w:val="decimal"/>
      <w:lvlText w:val=""/>
      <w:lvlJc w:val="left"/>
    </w:lvl>
    <w:lvl w:ilvl="4" w:tplc="6CD0EBA8">
      <w:numFmt w:val="decimal"/>
      <w:lvlText w:val=""/>
      <w:lvlJc w:val="left"/>
    </w:lvl>
    <w:lvl w:ilvl="5" w:tplc="2E4A3830">
      <w:numFmt w:val="decimal"/>
      <w:lvlText w:val=""/>
      <w:lvlJc w:val="left"/>
    </w:lvl>
    <w:lvl w:ilvl="6" w:tplc="0B44963A">
      <w:numFmt w:val="decimal"/>
      <w:lvlText w:val=""/>
      <w:lvlJc w:val="left"/>
    </w:lvl>
    <w:lvl w:ilvl="7" w:tplc="A48875CE">
      <w:numFmt w:val="decimal"/>
      <w:lvlText w:val=""/>
      <w:lvlJc w:val="left"/>
    </w:lvl>
    <w:lvl w:ilvl="8" w:tplc="F566F338">
      <w:numFmt w:val="decimal"/>
      <w:lvlText w:val=""/>
      <w:lvlJc w:val="left"/>
    </w:lvl>
  </w:abstractNum>
  <w:abstractNum w:abstractNumId="1" w15:restartNumberingAfterBreak="0">
    <w:nsid w:val="6718558C"/>
    <w:multiLevelType w:val="hybridMultilevel"/>
    <w:tmpl w:val="38A45EDA"/>
    <w:lvl w:ilvl="0" w:tplc="2E025B40">
      <w:start w:val="1"/>
      <w:numFmt w:val="bullet"/>
      <w:lvlText w:val="●"/>
      <w:lvlJc w:val="left"/>
      <w:pPr>
        <w:ind w:left="720" w:hanging="360"/>
      </w:pPr>
    </w:lvl>
    <w:lvl w:ilvl="1" w:tplc="FB8CBA26">
      <w:start w:val="1"/>
      <w:numFmt w:val="bullet"/>
      <w:lvlText w:val="○"/>
      <w:lvlJc w:val="left"/>
      <w:pPr>
        <w:ind w:left="1440" w:hanging="360"/>
      </w:pPr>
    </w:lvl>
    <w:lvl w:ilvl="2" w:tplc="DE609C08">
      <w:start w:val="1"/>
      <w:numFmt w:val="bullet"/>
      <w:lvlText w:val="■"/>
      <w:lvlJc w:val="left"/>
      <w:pPr>
        <w:ind w:left="2160" w:hanging="360"/>
      </w:pPr>
    </w:lvl>
    <w:lvl w:ilvl="3" w:tplc="85C2C93C">
      <w:start w:val="1"/>
      <w:numFmt w:val="bullet"/>
      <w:lvlText w:val="●"/>
      <w:lvlJc w:val="left"/>
      <w:pPr>
        <w:ind w:left="2880" w:hanging="360"/>
      </w:pPr>
    </w:lvl>
    <w:lvl w:ilvl="4" w:tplc="83CCAA80">
      <w:start w:val="1"/>
      <w:numFmt w:val="bullet"/>
      <w:lvlText w:val="○"/>
      <w:lvlJc w:val="left"/>
      <w:pPr>
        <w:ind w:left="3600" w:hanging="360"/>
      </w:pPr>
    </w:lvl>
    <w:lvl w:ilvl="5" w:tplc="9DAAFD54">
      <w:start w:val="1"/>
      <w:numFmt w:val="bullet"/>
      <w:lvlText w:val="■"/>
      <w:lvlJc w:val="left"/>
      <w:pPr>
        <w:ind w:left="4320" w:hanging="360"/>
      </w:pPr>
    </w:lvl>
    <w:lvl w:ilvl="6" w:tplc="2152B1FA">
      <w:start w:val="1"/>
      <w:numFmt w:val="bullet"/>
      <w:lvlText w:val="●"/>
      <w:lvlJc w:val="left"/>
      <w:pPr>
        <w:ind w:left="5040" w:hanging="360"/>
      </w:pPr>
    </w:lvl>
    <w:lvl w:ilvl="7" w:tplc="4E1E245E">
      <w:start w:val="1"/>
      <w:numFmt w:val="bullet"/>
      <w:lvlText w:val="●"/>
      <w:lvlJc w:val="left"/>
      <w:pPr>
        <w:ind w:left="5760" w:hanging="360"/>
      </w:pPr>
    </w:lvl>
    <w:lvl w:ilvl="8" w:tplc="7C4CFFDA">
      <w:start w:val="1"/>
      <w:numFmt w:val="bullet"/>
      <w:lvlText w:val="●"/>
      <w:lvlJc w:val="left"/>
      <w:pPr>
        <w:ind w:left="6480" w:hanging="360"/>
      </w:pPr>
    </w:lvl>
  </w:abstractNum>
  <w:num w:numId="1" w16cid:durableId="578486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464"/>
    <w:rsid w:val="00263331"/>
    <w:rsid w:val="00855464"/>
    <w:rsid w:val="009752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46028"/>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3575</Words>
  <Characters>19664</Characters>
  <Application>Microsoft Office Word</Application>
  <DocSecurity>0</DocSecurity>
  <Lines>163</Lines>
  <Paragraphs>46</Paragraphs>
  <ScaleCrop>false</ScaleCrop>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2026-04-06T02:02:00Z</dcterms:created>
  <dcterms:modified xsi:type="dcterms:W3CDTF">2026-04-06T02:02:00Z</dcterms:modified>
</cp:coreProperties>
</file>