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es genuino o performativo.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 Escalante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Torres Escalante)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w:t>
      </w:r>
      <w:r>
        <w:rPr>
          <w:rFonts w:ascii="Times New Roman" w:cs="Times New Roman" w:eastAsia="Times New Roman" w:hAnsi="Times New Roman"/>
          <w:color w:val="000000"/>
          <w:sz w:val="24"/>
          <w:szCs w:val="24"/>
        </w:rPr>
        <w:t xml:space="preserve">MediaPipe FaceLandmarker v0.10 (Lugaresi et al., 2023) extrae 52 blendshapes faciales por frame en modo IMAGE. Por segmento diarizado se muestrean hasta 20 frames y se calcula la media de cada blendshape.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25% Dabeiba, 20% Huila) según el ángulo y distancia de la cámara — limitación metodológica reportada explícitamente.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ICM facial = distress/(distress+sonrisa). Mayor ICM score = reconocimiento más genuino.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(pendiente). </w:t>
      </w:r>
      <w:r>
        <w:rPr>
          <w:rFonts w:ascii="Times New Roman" w:cs="Times New Roman" w:eastAsia="Times New Roman" w:hAnsi="Times New Roman"/>
          <w:color w:val="000000"/>
          <w:sz w:val="24"/>
          <w:szCs w:val="24"/>
        </w:rPr>
        <w:t xml:space="preserve">El extractor eGeMAPS (Eyben et al., 2016) producirá 88 features acústicas por segmento: F0, jitter, shimmer, alpha ratio, speech rate, duración de pausas. Los marcadores más relevantes para el ICM vocal son shimmer (quiebre de voz) y pausas largas (carga cognitiva). Pendiente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 xml:space="preserve">El ICM combina los tres canales — verbal (ConfliBERT REP score), vocal (eGeMAPS pendiente), facial (MediaPipe AUs) — en un índice de genuinidad. La versión implementada calcula ICM facial = distress_medio / (distress_medio + sonrisa_media), donde distress_medio = (AU1 + AU4 + AU15) / 3. Valores más altos indican mayor congruencia entre el reconocimiento verbal y la expresión facial de distress — reconocimiento genuino. Valores más bajos indican dominancia de la sonrisa — reconocimiento performativo.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4.5.5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Capa 3 pendiente: (1) eGeMAPS OpenSMILE canal vocal, (2) identificación definitiva speakers comparecientes Catatumbo/Dabeiba/Huila, (3) video Costa Caribe sin DRM, (4) ICM tri-canal completo. SEM completo pendiente de y₇ surprisal e y₁₁ convergencia restaurativa.</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