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5. Resultados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del Corpus C — en proceso). Los resultados de CFH-BERT v2 se presentan en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5.1 Descripción del corpus procesado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400"/>
        <w:gridCol w:w="40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Corpus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Docs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reparación directa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A-CSJ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Sala Penal — casación</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B-JEP</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Autos y resoluciones SRVR — Macrocaso 003 (≥200 ✓)</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C-JEP oral</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Audiencias JEP — 45.9h | 1.17M chars</w:t>
            </w:r>
          </w:p>
        </w:tc>
      </w:tr>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300+</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4.085+</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1994–2024</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A + B escrito + C oral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 Corpus CFH — descripción por subsistema.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5.2 Capa 1 — Indicadores léxicos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5.2.1 Accountability y persona gramatical</w:t>
      </w:r>
    </w:p>
    <w:p>
      <w:pPr>
        <w:spacing w:after="200" w:line="360" w:lineRule="auto"/>
        <w:ind w:firstLine="720"/>
        <w:jc w:val="both"/>
      </w:pPr>
      <w:r>
        <w:rPr>
          <w:rFonts w:ascii="Times New Roman" w:cs="Times New Roman" w:eastAsia="Times New Roman" w:hAnsi="Times New Roman"/>
          <w:color w:val="000000"/>
          <w:sz w:val="24"/>
          <w:szCs w:val="24"/>
        </w:rPr>
        <w:t xml:space="preserve">El accountability_score — ratio de construcciones de primera persona activa vs. pasivas/impersonales —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5.2.2 Hedging — evasión epistémica</w:t>
      </w:r>
    </w:p>
    <w:p>
      <w:pPr>
        <w:spacing w:after="200" w:line="360" w:lineRule="auto"/>
        <w:ind w:firstLine="720"/>
        <w:jc w:val="both"/>
      </w:pPr>
      <w:r>
        <w:rPr>
          <w:rFonts w:ascii="Times New Roman" w:cs="Times New Roman" w:eastAsia="Times New Roman" w:hAnsi="Times New Roman"/>
          <w:color w:val="000000"/>
          <w:sz w:val="24"/>
          <w:szCs w:val="24"/>
        </w:rPr>
        <w:t xml:space="preserve">El hedging_density — marcadores de evasión epistémica por 100 palabras —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5.2.3 Léxico emocional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2726"/>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 emocional</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c>
          <w:tcPr>
            <w:tcW w:type="dxa" w:w="27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 CFH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Culpa / responsabilidad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nombra más la responsabilidad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Tristeza / sufrimiento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describe el sufrimiento; B lo procesa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confrontacional; B restaurativo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Confianza / derecho / garantía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invoca principios jurídicos genéricos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Violencia institucional (eufemismos)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usa más eufemismos militares</w:t>
            </w:r>
          </w:p>
        </w:tc>
      </w:tr>
      <w:tr>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Balance víctimas (índice compuesto)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0.656</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JEP más orientada al lenguaje de las víctimas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5.2. Léxico emocional Corpus A vs B — 6 dimensiones. Lexicón NRC adaptado al español judicial.</w:t>
      </w:r>
    </w:p>
    <w:p>
      <w:pPr>
        <w:spacing w:after="200" w:line="360" w:lineRule="auto"/>
        <w:ind w:firstLine="720"/>
        <w:jc w:val="both"/>
      </w:pPr>
      <w:r>
        <w:rPr>
          <w:rFonts w:ascii="Times New Roman" w:cs="Times New Roman" w:eastAsia="Times New Roman" w:hAnsi="Times New Roman"/>
          <w:color w:val="000000"/>
          <w:sz w:val="24"/>
          <w:szCs w:val="24"/>
        </w:rPr>
        <w:t xml:space="preserve">El balance_victimas (B=0.656 vs A=0.569) es el hallazgo más relevante del léxico emocional: el Corpus B está significativamente más orientado al lenguaje de las víctimas que al lenguaje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5.2.4 SA Score (y₂) y NV Score (y₄)</w:t>
      </w:r>
    </w:p>
    <w:p>
      <w:pPr>
        <w:spacing w:after="200" w:line="360" w:lineRule="auto"/>
        <w:ind w:firstLine="720"/>
        <w:jc w:val="both"/>
      </w:pPr>
      <w:r>
        <w:rPr>
          <w:rFonts w:ascii="Times New Roman" w:cs="Times New Roman" w:eastAsia="Times New Roman" w:hAnsi="Times New Roman"/>
          <w:color w:val="000000"/>
          <w:sz w:val="24"/>
          <w:szCs w:val="24"/>
        </w:rPr>
        <w:t xml:space="preserve">El SA Score no difiere significativamente entre los dos sistemas (A=0.885, B=0.913, p=0.934 n.s.) — es transversal al lenguaje jurídico-institucional colombiano. El NV Score es ligeramente mayor en el Corpus A (A=0.239, B=0.233, p=0.028 *). La correlación entre NV y REP es r=−0.082 — operan en dimensiones independientes.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5.3 Capa 2 — REP Score (y₁₀)</w:t>
      </w:r>
    </w:p>
    <w:p>
      <w:pPr>
        <w:spacing w:after="200" w:line="360" w:lineRule="auto"/>
        <w:ind w:firstLine="720"/>
        <w:jc w:val="both"/>
      </w:pPr>
      <w:r>
        <w:rPr>
          <w:rFonts w:ascii="Times New Roman" w:cs="Times New Roman" w:eastAsia="Times New Roman" w:hAnsi="Times New Roman"/>
          <w:color w:val="000000"/>
          <w:sz w:val="24"/>
          <w:szCs w:val="24"/>
        </w:rPr>
        <w:t xml:space="preserve">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5.4 Capa 2 — Distancias semánticas y₈ y y₉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00"/>
        <w:gridCol w:w="1000"/>
        <w:gridCol w:w="11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C</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B</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C</w:t>
            </w:r>
          </w:p>
        </w:tc>
        <w:tc>
          <w:tcPr>
            <w:tcW w:type="dxa" w:w="11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 (↓=más cercano)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p&lt;0.001 ***</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B=C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 (↓=más cercano)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&lt; A &lt; C</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5.3. Distancias semánticas y₈ y y₉ — ConfliBERT-Spanish. *** p&lt;0.001.</w:t>
      </w:r>
    </w:p>
    <w:p>
      <w:pPr>
        <w:spacing w:after="200" w:line="360" w:lineRule="auto"/>
        <w:ind w:firstLine="720"/>
        <w:jc w:val="both"/>
      </w:pPr>
      <w:r>
        <w:rPr>
          <w:rFonts w:ascii="Times New Roman" w:cs="Times New Roman" w:eastAsia="Times New Roman" w:hAnsi="Times New Roman"/>
          <w:color w:val="000000"/>
          <w:sz w:val="24"/>
          <w:szCs w:val="24"/>
        </w:rPr>
        <w:t xml:space="preserve">El Corpus B (JEP escrito) y el Corpus C (JEP oral) están igualmente cercanos al lenguaje de MAFAPO (y₈=0.191 en ambos). Para y₉ CIDH, el Corpus C oral (0.263) es más alejado que el Corpus A (0.254): los comparecientes hablan desde la experiencia vivida, no desde el derecho internacional. Eso es teóricamente coherente con Zehr (2002).</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5.5 CFH-BERT v2 — clasificador IO con weighted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Versión</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macro</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REP</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EBI</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SA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NV</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v1 (BIO, 9 clases)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0.68</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v2 (IO, 5 clases)</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0.58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0.77</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0.32</w:t>
            </w:r>
          </w:p>
        </w:tc>
        <w:tc>
          <w:tcPr>
            <w:tcW w:type="dxa" w:w="1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Δ (v2−v1)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+0.31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+0.06</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+0.04</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+0.28</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5.4. CFH-BERT v1 vs v2. n=100 anotaciones. Mejora más significativa en NV (+0.28) por weighted loss.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5.6 Brecha discursiva — evidencia integrada A vs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100"/>
        <w:gridCol w:w="2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Capa</w:t>
            </w:r>
          </w:p>
        </w:tc>
        <w:tc>
          <w:tcPr>
            <w:tcW w:type="dxa" w:w="2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Accountability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0.907</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&gt;&gt; B ✓ (B más restaurativo)</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Balance víctimas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0.656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0.028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 B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Dist. léxico 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0.990</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y₂ SA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0.885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0.934 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transversal al género jurídico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5.5. Evidencia integrada A vs B — 9 indicadores CFH Capas 1 y 2. * p&lt;0.05  *** p&lt;0.001  n.s. no significativo.</w:t>
      </w:r>
    </w:p>
    <w:p>
      <w:pPr>
        <w:spacing w:after="200" w:line="360" w:lineRule="auto"/>
        <w:ind w:firstLine="720"/>
        <w:jc w:val="both"/>
      </w:pPr>
      <w:r>
        <w:rPr>
          <w:rFonts w:ascii="Times New Roman" w:cs="Times New Roman" w:eastAsia="Times New Roman" w:hAnsi="Times New Roman"/>
          <w:color w:val="000000"/>
          <w:sz w:val="24"/>
          <w:szCs w:val="24"/>
        </w:rPr>
        <w:t xml:space="preserve">Ocho de nueve indicadores son significativos en la dirección predicha. El único no significativo es y₂ SA — confirmando su carácter transversal. La convergencia de seis indicadores con p&lt;0.001 constituye evidencia robusta y multimodal de la brecha discursiva entre la justicia ordinaria y la JEP.</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5.7 Control temporal y análisis de senderos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5.7.1 Control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 2018-2023</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2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0.139 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0.293 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0.217</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p=0.001 ***</w:t>
            </w:r>
          </w:p>
        </w:tc>
        <w:tc>
          <w:tcPr>
            <w:tcW w:type="dxa" w:w="2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5.6. Control temporal — A 2018-2023 vs B.</w:t>
      </w:r>
    </w:p>
    <w:p>
      <w:pPr>
        <w:pStyle w:val="Heading3"/>
        <w:spacing w:after="140" w:before="280"/>
        <w:outlineLvl w:val="2"/>
      </w:pPr>
      <w:r>
        <w:rPr>
          <w:rFonts w:ascii="Times New Roman" w:cs="Times New Roman" w:eastAsia="Times New Roman" w:hAnsi="Times New Roman"/>
          <w:b/>
          <w:bCs/>
          <w:i/>
          <w:iCs/>
          <w:color w:val="000000"/>
          <w:sz w:val="24"/>
          <w:szCs w:val="24"/>
        </w:rPr>
        <w:t xml:space="preserve">5.7.2 Análisis de senderos exploratorio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2426"/>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β</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Sig.</w:t>
            </w:r>
          </w:p>
        </w:tc>
        <w:tc>
          <w:tcPr>
            <w:tcW w:type="dxa" w:w="2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y₁₀ REP ← y₃ civil</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−5.337</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Predictor más fuerte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y₂ 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coexiste con REP en JEP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y₄ 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coexiste con REP en Corpus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MAFAPO ← y₃ civil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MAFAPO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CIDH ← y₃ civil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la CIDH</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5.7. Path analysis exploratorio — CFI=0.619, RMSEA=0.437, n=873.</w:t>
      </w:r>
    </w:p>
    <w:p>
      <w:pPr>
        <w:spacing w:after="200" w:line="360" w:lineRule="auto"/>
        <w:ind w:firstLine="720"/>
        <w:jc w:val="both"/>
      </w:pPr>
      <w:r>
        <w:rPr>
          <w:rFonts w:ascii="Times New Roman" w:cs="Times New Roman" w:eastAsia="Times New Roman" w:hAnsi="Times New Roman"/>
          <w:color w:val="000000"/>
          <w:sz w:val="24"/>
          <w:szCs w:val="24"/>
        </w:rPr>
        <w:t xml:space="preserve">El predictor más fuerte de la transición epistémica es y₃ distancia léxico-civil (β=−5.337, p&lt;0.001): la proximidad léxica al lenguaje de las víctimas civiles es el principal predictor del reconocimiento en el corpus CFH.</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5.8 Capa 3 — Diarización y análisis semántico Corpus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200"/>
        <w:gridCol w:w="1200"/>
        <w:gridCol w:w="1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Segmentos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y₈ MAFAPO</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y₉ CIDH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0.207</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0.259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1.389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0.193</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6.281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0.186</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~16.673</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0.191</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0.263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5.9. Corpus C — resultados por subcaso. y₈ y y₉ calculados con ConfliBERT-Spanish sobre 588 bloques. Verde = subcasos más cercanos a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semántico del Corpus C revela diferencias importantes entre subcasos. Huila (y₈=0.186) y Costa Caribe/Dabeiba (y₈=0.189) son los subcasos más cercanos semánticamente al lenguaje de las víctimas de MAFAPO, mientras que Catatumbo (y₈=0.207) es el más distante — coincidentemente el subcaso con mayor porcentaje de silencio en el audio (gaps en minutos 240-330). La media del Corpus C (y₈=0.191) es idéntica a la del Corpus B escrito, confirmando que el lenguaje oral de las audiencias JEP está igualmente cercano a las víctimas que el lenguaje escrito formal. Para y₉ CIDH, todos los subcasos están más alejados que el Corpus B escrito (0.235), lo que es teóricamente coherente: los comparecientes hablan desde la experiencia vivida, no desde el lenguaje técnico-jurídico del derecho internacional humanitario.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5.9 Capa 3 — ICM facial: gradiente por rango militar</w:t>
      </w:r>
    </w:p>
    <w:p>
      <w:pPr>
        <w:spacing w:after="200" w:line="360" w:lineRule="auto"/>
        <w:ind w:firstLine="720"/>
        <w:jc w:val="both"/>
      </w:pPr>
      <w:r>
        <w:rPr>
          <w:rFonts w:ascii="Times New Roman" w:cs="Times New Roman" w:eastAsia="Times New Roman" w:hAnsi="Times New Roman"/>
          <w:color w:val="000000"/>
          <w:sz w:val="24"/>
          <w:szCs w:val="24"/>
        </w:rPr>
        <w:t xml:space="preserve">La Capa 3 multimodal del framework CFH extrae Action Units (AUs) faciales de los comparecientes en las audiencias de reconocimiento, utilizando MediaPipe FaceLandmarker sobre los segmentos de audio diarizados. Los speakers comparecientes fueron identificados mediante cruce de diarización con transcripciones de Whisper: SPEAKER_03 Casanare = General Torres Escalante (letrero JEP en pantalla); SPEAKER_03 Catatumbo = Cap. Juan Carlos Chaparro Chaparro (letrero JEP); SPEAKER_01 Dabeiba = compareciente oficial (contenido textual); SPEAKER_06+07+08 Huila = soldados y suboficiales incluyendo a Luis Carlos Ollo La Tapia.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800"/>
        <w:gridCol w:w="800"/>
        <w:gridCol w:w="800"/>
        <w:gridCol w:w="15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w:t>
            </w:r>
          </w:p>
        </w:tc>
        <w:tc>
          <w:tcPr>
            <w:tcW w:type="dxa" w:w="1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Compareciente / Rango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AU15 tristeza</w:t>
            </w:r>
          </w:p>
        </w:tc>
        <w:tc>
          <w:tcPr>
            <w:tcW w:type="dxa" w:w="1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score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Gral. Torres Escalante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0.190 ← más performativo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Cap. Juan Carlos Chaparro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0.011</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Oficial (coronel/teniente coronel)</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0.140</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0.008</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0.292</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Huila</w:t>
            </w:r>
          </w:p>
        </w:tc>
        <w:tc>
          <w:tcPr>
            <w:tcW w:type="dxa" w:w="1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Soldados/suboficiales (Ollo La Tapia + otros)</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322</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0.280</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0.048</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0.307 ← más genuino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5.10. ICM facial por subcaso — gradiente por rango militar. MediaPipe FaceLandmarker. ICM = distress/(distress+sonrisa). Mayor ICM = reconocimiento más genuino.</w:t>
      </w:r>
    </w:p>
    <w:p>
      <w:pPr>
        <w:spacing w:after="200" w:line="360" w:lineRule="auto"/>
        <w:ind w:firstLine="720"/>
        <w:jc w:val="both"/>
      </w:pPr>
      <w:r>
        <w:rPr>
          <w:rFonts w:ascii="Times New Roman" w:cs="Times New Roman" w:eastAsia="Times New Roman" w:hAnsi="Times New Roman"/>
          <w:color w:val="000000"/>
          <w:sz w:val="24"/>
          <w:szCs w:val="24"/>
        </w:rPr>
        <w:t xml:space="preserve">El hallazgo más relevante de la Capa 3 es un gradiente monotónico por rango militar: General Torres Escalante (ICM=0.190) &lt; Capitán Chaparro (ICM=0.272) &lt; Oficial Dabeiba (ICM=0.292) &lt; Soldados Huila (ICM=0.307). Este gradiente tiene interpretación teórica directa: a menor rango militar, mayor genuinidad del reconocimiento facial. Los generales y oficiales superiores tienen mayor experiencia en comunicación institucional formal, mayor incentivo para proteger su imagen pública ante la opinión internacional, y mayor distancia psicológica del acto criminal concreto — lo que se manifiesta en un perfil facial más performativo (AU12 sonrisa dominante). Los soldados rasos hablan desde una posición de menor poder institucional, con menor distancia del acto concreto y con menos recursos de gestión de imagen — lo que se traduce en un perfil facial más genuino (AU4 ceño dominante, baja sonrisa).</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Catatumbo fue la primera audiencia de reconocimiento de la JEP (26-27 abril 2022) y fue descrita por la magistrada Catalina Díaz como una 'catarsis colectiva'. El AU15 elevado del Capitán Chaparro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 xml:space="preserve">La detección facial varía entre audiencias (86% Casanare, 55% Catatumbo, 25% Dabeiba, 20% Huila) según el ángulo de cámara — limitación metodológica que afecta la comparabilidad inter-audiencia. Los resultados de Dabeiba y Huila deben interpretarse con cautela.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 PENDIENTE versión final: </w:t>
            </w:r>
            <w:r>
              <w:rPr>
                <w:rFonts w:ascii="Times New Roman" w:cs="Times New Roman" w:eastAsia="Times New Roman" w:hAnsi="Times New Roman"/>
                <w:i/>
                <w:iCs/>
                <w:color w:val="92400E"/>
                <w:sz w:val="22"/>
                <w:szCs w:val="22"/>
              </w:rPr>
              <w:t xml:space="preserve">ICM completo pendiente: (1) canal vocal eGeMAPS — shimmer, jitter, F0 por segmento diarizado, (2) video Costa Caribe sin DRM, (3) validación perceptual ICM vs. jueces humanos (Baird y Coutinho, 2019).</w:t>
            </w:r>
          </w:p>
        </w:tc>
      </w:tr>
    </w:tbl>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(2022). Resolución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MAFAPO.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Mann, H. B. y Whitney, D. R. (1947). On a test of whether one of two random variables is stochastically larger than the other. Annals of Mathematical Statistics, 18(1), 50–60.</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et al. (2023). ConfliBERT-Spanish.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2026-04-15T21:34:52.666Z</dcterms:created>
  <dcterms:modified xsi:type="dcterms:W3CDTF">2026-04-15T21:34:52.667Z</dcterms:modified>
</cp:coreProperties>
</file>

<file path=docProps/custom.xml><?xml version="1.0" encoding="utf-8"?>
<Properties xmlns="http://schemas.openxmlformats.org/officeDocument/2006/custom-properties" xmlns:vt="http://schemas.openxmlformats.org/officeDocument/2006/docPropsVTypes"/>
</file>