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14561" w14:textId="77777777" w:rsidR="00D15BF7" w:rsidRDefault="00000000">
      <w:pPr>
        <w:pStyle w:val="Ttulo1"/>
      </w:pPr>
      <w:r>
        <w:t>4. Metodología</w:t>
      </w:r>
    </w:p>
    <w:p w14:paraId="41CF8E27" w14:textId="77777777" w:rsidR="00D15BF7" w:rsidRDefault="00000000">
      <w:pPr>
        <w:spacing w:after="200" w:line="360" w:lineRule="auto"/>
        <w:ind w:firstLine="720"/>
        <w:jc w:val="both"/>
      </w:pPr>
      <w:r>
        <w:rPr>
          <w:color w:val="000000"/>
        </w:rPr>
        <w:t>Este capítulo describe el diseño metodológico de la investigación, organizado en seis componentes interrelacionados: el diseño general del estudio, la descripción del corpus, el pipeline de ingesta y procesamiento, la taxonomía de anotación, el modelo SEM y los protocolos de validación. Cada componente es tanto una decisión metodológica como una contribución técnica: el pipeline, la taxonomía y el modelo constituyen la infraestructura computacional de la CFH, diseñada para ser reproducible y extensible a otros contextos de análisis de archivos judiciales.</w:t>
      </w:r>
    </w:p>
    <w:p w14:paraId="528D4802" w14:textId="77777777" w:rsidR="00D15BF7" w:rsidRDefault="00D15BF7">
      <w:pPr>
        <w:spacing w:after="120"/>
      </w:pPr>
    </w:p>
    <w:p w14:paraId="11104667" w14:textId="77777777" w:rsidR="00D15BF7" w:rsidRDefault="00000000">
      <w:pPr>
        <w:pStyle w:val="Ttulo2"/>
      </w:pPr>
      <w:r>
        <w:t>4.1 Diseño de la investigación</w:t>
      </w:r>
    </w:p>
    <w:p w14:paraId="38699072" w14:textId="77777777" w:rsidR="00D15BF7" w:rsidRDefault="00000000">
      <w:pPr>
        <w:spacing w:after="200" w:line="360" w:lineRule="auto"/>
        <w:ind w:firstLine="720"/>
        <w:jc w:val="both"/>
      </w:pPr>
      <w:r>
        <w:rPr>
          <w:color w:val="000000"/>
        </w:rPr>
        <w:t xml:space="preserve">Esta investigación adopta un diseño </w:t>
      </w:r>
      <w:proofErr w:type="spellStart"/>
      <w:proofErr w:type="gramStart"/>
      <w:r>
        <w:rPr>
          <w:color w:val="000000"/>
        </w:rPr>
        <w:t>cuasi-experimental</w:t>
      </w:r>
      <w:proofErr w:type="spellEnd"/>
      <w:proofErr w:type="gramEnd"/>
      <w:r>
        <w:rPr>
          <w:color w:val="000000"/>
        </w:rPr>
        <w:t xml:space="preserve"> de tipo comparativo no aleatorizado, con corpus como unidad de análisis. El término </w:t>
      </w:r>
      <w:proofErr w:type="spellStart"/>
      <w:proofErr w:type="gramStart"/>
      <w:r>
        <w:rPr>
          <w:color w:val="000000"/>
        </w:rPr>
        <w:t>cuasi-experimental</w:t>
      </w:r>
      <w:proofErr w:type="spellEnd"/>
      <w:proofErr w:type="gramEnd"/>
      <w:r>
        <w:rPr>
          <w:color w:val="000000"/>
        </w:rPr>
        <w:t xml:space="preserve"> refleja la imposibilidad de asignar aleatoriamente los documentos judiciales a condiciones de tratamiento: los corpus ya existen como archivo histórico y su composición está determinada por el sistema judicial colombiano, no por la investigación. Sin embargo, la comparación sistemática entre corpus con características institucionales distintas permite inferencias sobre los factores que predicen la injusticia discursiva.</w:t>
      </w:r>
    </w:p>
    <w:p w14:paraId="44D733A4" w14:textId="77777777" w:rsidR="00D15BF7" w:rsidRDefault="00000000">
      <w:pPr>
        <w:spacing w:after="200" w:line="360" w:lineRule="auto"/>
        <w:ind w:firstLine="720"/>
        <w:jc w:val="both"/>
      </w:pPr>
      <w:r>
        <w:rPr>
          <w:color w:val="000000"/>
        </w:rPr>
        <w:t>El diseño contrasta tres grupos de documentos que representan tres condiciones de producción textual distintas, ordenadas cronológicamente y por sistema de justicia:</w:t>
      </w:r>
    </w:p>
    <w:p w14:paraId="0EE4E655" w14:textId="77777777" w:rsidR="00D15BF7" w:rsidRDefault="00000000">
      <w:pPr>
        <w:pStyle w:val="Prrafodelista"/>
        <w:numPr>
          <w:ilvl w:val="0"/>
          <w:numId w:val="2"/>
        </w:numPr>
        <w:spacing w:after="120"/>
        <w:jc w:val="both"/>
      </w:pPr>
      <w:r>
        <w:t>Grupo 1 — Justicia ordinaria (Corpus A): sentencias del Consejo de Estado y la Corte Suprema de Justicia, producidas entre 1994 y 2021. Representan el lenguaje del sistema judicial colombiano previo y contemporáneo a la JEP.</w:t>
      </w:r>
    </w:p>
    <w:p w14:paraId="7E6516DA" w14:textId="77777777" w:rsidR="00D15BF7" w:rsidRDefault="00000000">
      <w:pPr>
        <w:pStyle w:val="Prrafodelista"/>
        <w:numPr>
          <w:ilvl w:val="0"/>
          <w:numId w:val="2"/>
        </w:numPr>
        <w:spacing w:after="120"/>
        <w:jc w:val="both"/>
      </w:pPr>
      <w:r>
        <w:lastRenderedPageBreak/>
        <w:t>Grupo 2 — Justicia transicional escrita (Corpus B): autos de determinación de hechos y conductas y resoluciones de conclusiones de la JEP, producidos entre 2018 y 2023. Representan el lenguaje del sistema transicional en su dimensión escrita.</w:t>
      </w:r>
    </w:p>
    <w:p w14:paraId="072AB072" w14:textId="77777777" w:rsidR="00D15BF7" w:rsidRDefault="00000000">
      <w:pPr>
        <w:pStyle w:val="Prrafodelista"/>
        <w:numPr>
          <w:ilvl w:val="0"/>
          <w:numId w:val="2"/>
        </w:numPr>
        <w:spacing w:after="120"/>
        <w:jc w:val="both"/>
      </w:pPr>
      <w:r>
        <w:t>Grupo 3 — Justicia transicional oral (Corpus C): transcripciones de audiencias públicas de reconocimiento de la JEP, producidas entre 2022 y 2023. Representan el lenguaje transicional en su dimensión oral y dialógica.</w:t>
      </w:r>
    </w:p>
    <w:p w14:paraId="0BBFB3A6" w14:textId="77777777" w:rsidR="00D15BF7" w:rsidRDefault="00D15BF7">
      <w:pPr>
        <w:spacing w:after="120"/>
      </w:pPr>
    </w:p>
    <w:p w14:paraId="545B9D8D" w14:textId="77777777" w:rsidR="00D15BF7" w:rsidRDefault="00000000">
      <w:pPr>
        <w:spacing w:after="200" w:line="360" w:lineRule="auto"/>
        <w:ind w:firstLine="720"/>
        <w:jc w:val="both"/>
      </w:pPr>
      <w:r>
        <w:rPr>
          <w:color w:val="000000"/>
        </w:rPr>
        <w:t>La lógica comparativa del diseño sigue el argumento de que si la justicia transicional produce una ruptura epistémica real —y no solo retórica— entonces el DIS Score debe ser significativamente menor en los grupos 2 y 3 que en el grupo 1, y el indicador de Transición Epistémica (η₂) debe ser significativamente mayor. La hipótesis central H₃ predice que esa diferencia es estadísticamente significativa y estructuralmente estable.</w:t>
      </w:r>
    </w:p>
    <w:p w14:paraId="59B8178B" w14:textId="77777777" w:rsidR="00D15BF7" w:rsidRDefault="00000000">
      <w:pPr>
        <w:spacing w:after="200" w:line="360" w:lineRule="auto"/>
        <w:ind w:firstLine="720"/>
        <w:jc w:val="both"/>
      </w:pPr>
      <w:r>
        <w:rPr>
          <w:color w:val="000000"/>
        </w:rPr>
        <w:t xml:space="preserve">El análisis </w:t>
      </w:r>
      <w:proofErr w:type="spellStart"/>
      <w:r>
        <w:rPr>
          <w:color w:val="000000"/>
        </w:rPr>
        <w:t>multi-grupo</w:t>
      </w:r>
      <w:proofErr w:type="spellEnd"/>
      <w:r>
        <w:rPr>
          <w:color w:val="000000"/>
        </w:rPr>
        <w:t xml:space="preserve"> (MG-SEM) permite adicionalmente evaluar si el modelo SEM presenta invarianza de medición entre los tres grupos, es decir, si los indicadores miden las mismas construcciones latentes con la misma métrica en los tres contextos institucionales. Esta evaluación es necesaria para que las comparaciones entre grupos sean interpretables.</w:t>
      </w:r>
    </w:p>
    <w:p w14:paraId="066C09DD" w14:textId="77777777" w:rsidR="00D15BF7" w:rsidRDefault="00D15BF7">
      <w:pPr>
        <w:spacing w:after="120"/>
      </w:pPr>
    </w:p>
    <w:p w14:paraId="79C31901" w14:textId="77777777" w:rsidR="00D15BF7" w:rsidRDefault="00000000">
      <w:pPr>
        <w:pStyle w:val="Ttulo2"/>
      </w:pPr>
      <w:r>
        <w:t>4.2 Descripción del corpus</w:t>
      </w:r>
    </w:p>
    <w:p w14:paraId="4CA344A2" w14:textId="77777777" w:rsidR="00D15BF7" w:rsidRDefault="00000000">
      <w:pPr>
        <w:pStyle w:val="Ttulo3"/>
      </w:pPr>
      <w:r>
        <w:t>4.2.1 Corpus A — Justicia ordinaria</w:t>
      </w:r>
    </w:p>
    <w:p w14:paraId="2E8CCBB3" w14:textId="77777777" w:rsidR="00D15BF7" w:rsidRDefault="00000000">
      <w:pPr>
        <w:spacing w:after="200" w:line="360" w:lineRule="auto"/>
        <w:ind w:firstLine="720"/>
        <w:jc w:val="both"/>
      </w:pPr>
      <w:r>
        <w:rPr>
          <w:color w:val="000000"/>
        </w:rPr>
        <w:t>El Corpus A está compuesto por documentos de la justicia ordinaria colombiana relacionados con casos de ejecuciones extrajudiciales. Para garantizar la representatividad del corpus respecto a los dos sistemas de la justicia ordinaria que más produjo jurisprudencia sobre falsos positivos, el Corpus A se subdivide en dos subsistemas.</w:t>
      </w:r>
    </w:p>
    <w:p w14:paraId="6A6F6B7D" w14:textId="77777777" w:rsidR="00D15BF7" w:rsidRDefault="00D15BF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800"/>
        <w:gridCol w:w="3426"/>
      </w:tblGrid>
      <w:tr w:rsidR="00D15BF7" w14:paraId="7E9E8AFE" w14:textId="77777777">
        <w:tblPrEx>
          <w:tblCellMar>
            <w:top w:w="0" w:type="dxa"/>
            <w:bottom w:w="0" w:type="dxa"/>
          </w:tblCellMar>
        </w:tblPrEx>
        <w:tc>
          <w:tcPr>
            <w:tcW w:w="22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4F7B95F7" w14:textId="77777777" w:rsidR="00D15BF7" w:rsidRDefault="00000000">
            <w:r>
              <w:rPr>
                <w:b/>
                <w:bCs/>
                <w:color w:val="FFFFFF"/>
                <w:sz w:val="20"/>
                <w:szCs w:val="20"/>
              </w:rPr>
              <w:t>Subsistema</w:t>
            </w:r>
          </w:p>
        </w:tc>
        <w:tc>
          <w:tcPr>
            <w:tcW w:w="16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533512B9" w14:textId="77777777" w:rsidR="00D15BF7" w:rsidRDefault="00000000">
            <w:r>
              <w:rPr>
                <w:b/>
                <w:bCs/>
                <w:color w:val="FFFFFF"/>
                <w:sz w:val="20"/>
                <w:szCs w:val="20"/>
              </w:rPr>
              <w:t>N documentos</w:t>
            </w:r>
          </w:p>
        </w:tc>
        <w:tc>
          <w:tcPr>
            <w:tcW w:w="18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361C35EC" w14:textId="77777777" w:rsidR="00D15BF7" w:rsidRDefault="00000000">
            <w:r>
              <w:rPr>
                <w:b/>
                <w:bCs/>
                <w:color w:val="FFFFFF"/>
                <w:sz w:val="20"/>
                <w:szCs w:val="20"/>
              </w:rPr>
              <w:t>Período</w:t>
            </w:r>
          </w:p>
        </w:tc>
        <w:tc>
          <w:tcPr>
            <w:tcW w:w="3426"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734D7C18" w14:textId="77777777" w:rsidR="00D15BF7" w:rsidRDefault="00000000">
            <w:r>
              <w:rPr>
                <w:b/>
                <w:bCs/>
                <w:color w:val="FFFFFF"/>
                <w:sz w:val="20"/>
                <w:szCs w:val="20"/>
              </w:rPr>
              <w:t xml:space="preserve">Secciones </w:t>
            </w:r>
            <w:proofErr w:type="gramStart"/>
            <w:r>
              <w:rPr>
                <w:b/>
                <w:bCs/>
                <w:color w:val="FFFFFF"/>
                <w:sz w:val="20"/>
                <w:szCs w:val="20"/>
              </w:rPr>
              <w:t>target</w:t>
            </w:r>
            <w:proofErr w:type="gramEnd"/>
          </w:p>
        </w:tc>
      </w:tr>
      <w:tr w:rsidR="00D15BF7" w14:paraId="4B76AD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47303B" w14:textId="77777777" w:rsidR="00D15BF7" w:rsidRDefault="00000000">
            <w:r>
              <w:rPr>
                <w:color w:val="000000"/>
                <w:sz w:val="20"/>
                <w:szCs w:val="20"/>
              </w:rPr>
              <w:lastRenderedPageBreak/>
              <w:t>Consejo de Estado (CE) — Sección Tercera</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1207F2" w14:textId="77777777" w:rsidR="00D15BF7" w:rsidRDefault="00000000">
            <w:pPr>
              <w:jc w:val="center"/>
            </w:pPr>
            <w:r>
              <w:rPr>
                <w:color w:val="000000"/>
                <w:sz w:val="20"/>
                <w:szCs w:val="20"/>
              </w:rPr>
              <w:t>151</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C7B7D1" w14:textId="77777777" w:rsidR="00D15BF7" w:rsidRDefault="00000000">
            <w:r>
              <w:rPr>
                <w:color w:val="000000"/>
                <w:sz w:val="20"/>
                <w:szCs w:val="20"/>
              </w:rPr>
              <w:t>1994–2021</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E38BCB" w14:textId="77777777" w:rsidR="00D15BF7" w:rsidRDefault="00000000">
            <w:r>
              <w:rPr>
                <w:color w:val="000000"/>
                <w:sz w:val="20"/>
                <w:szCs w:val="20"/>
              </w:rPr>
              <w:t>HECHOS, CONSIDERACIONES, DECISIÓN</w:t>
            </w:r>
          </w:p>
        </w:tc>
      </w:tr>
      <w:tr w:rsidR="00D15BF7" w14:paraId="433359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84821" w14:textId="77777777" w:rsidR="00D15BF7" w:rsidRDefault="00000000">
            <w:r>
              <w:rPr>
                <w:color w:val="000000"/>
                <w:sz w:val="20"/>
                <w:szCs w:val="20"/>
              </w:rPr>
              <w:t>Corte Suprema de Justicia (CSJ) — Sala de Casación Penal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3D46F" w14:textId="77777777" w:rsidR="00D15BF7" w:rsidRDefault="00000000">
            <w:pPr>
              <w:jc w:val="center"/>
            </w:pPr>
            <w:r>
              <w:rPr>
                <w:color w:val="000000"/>
                <w:sz w:val="20"/>
                <w:szCs w:val="20"/>
              </w:rPr>
              <w:t>180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973E0" w14:textId="77777777" w:rsidR="00D15BF7" w:rsidRDefault="00000000">
            <w:r>
              <w:rPr>
                <w:color w:val="000000"/>
                <w:sz w:val="20"/>
                <w:szCs w:val="20"/>
              </w:rPr>
              <w:t>2012–2020</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F3223" w14:textId="77777777" w:rsidR="00D15BF7" w:rsidRDefault="00000000">
            <w:r>
              <w:rPr>
                <w:color w:val="000000"/>
                <w:sz w:val="20"/>
                <w:szCs w:val="20"/>
              </w:rPr>
              <w:t>HECHOS JURÍDICAMENTE RELEVANTES, CARGOS, CONSIDERACIONES DE LA CORTE, DECISIÓN</w:t>
            </w:r>
          </w:p>
        </w:tc>
      </w:tr>
      <w:tr w:rsidR="00D15BF7" w14:paraId="35AAB6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24082B3E" w14:textId="77777777" w:rsidR="00D15BF7" w:rsidRDefault="00000000">
            <w:proofErr w:type="gramStart"/>
            <w:r>
              <w:rPr>
                <w:b/>
                <w:bCs/>
                <w:color w:val="000000"/>
                <w:sz w:val="20"/>
                <w:szCs w:val="20"/>
              </w:rPr>
              <w:t>Total</w:t>
            </w:r>
            <w:proofErr w:type="gramEnd"/>
            <w:r>
              <w:rPr>
                <w:b/>
                <w:bCs/>
                <w:color w:val="000000"/>
                <w:sz w:val="20"/>
                <w:szCs w:val="20"/>
              </w:rPr>
              <w:t xml:space="preserve"> Corpus A</w:t>
            </w:r>
          </w:p>
        </w:tc>
        <w:tc>
          <w:tcPr>
            <w:tcW w:w="16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686FBE57" w14:textId="77777777" w:rsidR="00D15BF7" w:rsidRDefault="00000000">
            <w:pPr>
              <w:jc w:val="center"/>
            </w:pPr>
            <w:r>
              <w:rPr>
                <w:b/>
                <w:bCs/>
                <w:color w:val="000000"/>
                <w:sz w:val="20"/>
                <w:szCs w:val="20"/>
              </w:rPr>
              <w:t>331</w:t>
            </w:r>
          </w:p>
        </w:tc>
        <w:tc>
          <w:tcPr>
            <w:tcW w:w="1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21E60120" w14:textId="77777777" w:rsidR="00D15BF7" w:rsidRDefault="00000000">
            <w:r>
              <w:rPr>
                <w:color w:val="000000"/>
                <w:sz w:val="20"/>
                <w:szCs w:val="20"/>
              </w:rPr>
              <w:t>1994–2021</w:t>
            </w:r>
          </w:p>
        </w:tc>
        <w:tc>
          <w:tcPr>
            <w:tcW w:w="3426"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FC5E339" w14:textId="77777777" w:rsidR="00D15BF7" w:rsidRDefault="00000000">
            <w:r>
              <w:rPr>
                <w:color w:val="000000"/>
                <w:sz w:val="20"/>
                <w:szCs w:val="20"/>
              </w:rPr>
              <w:t xml:space="preserve">291 </w:t>
            </w:r>
            <w:proofErr w:type="spellStart"/>
            <w:r>
              <w:rPr>
                <w:color w:val="000000"/>
                <w:sz w:val="20"/>
                <w:szCs w:val="20"/>
              </w:rPr>
              <w:t>JSONs</w:t>
            </w:r>
            <w:proofErr w:type="spellEnd"/>
            <w:r>
              <w:rPr>
                <w:color w:val="000000"/>
                <w:sz w:val="20"/>
                <w:szCs w:val="20"/>
              </w:rPr>
              <w:t xml:space="preserve"> únicos procesados (90% confianza alta)</w:t>
            </w:r>
          </w:p>
        </w:tc>
      </w:tr>
    </w:tbl>
    <w:p w14:paraId="7134DAE6" w14:textId="77777777" w:rsidR="00D15BF7" w:rsidRDefault="00D15BF7">
      <w:pPr>
        <w:spacing w:after="120"/>
      </w:pPr>
    </w:p>
    <w:p w14:paraId="13BE9B60" w14:textId="77777777" w:rsidR="00D15BF7" w:rsidRDefault="00000000">
      <w:pPr>
        <w:spacing w:after="200" w:line="360" w:lineRule="auto"/>
        <w:ind w:firstLine="720"/>
        <w:jc w:val="both"/>
      </w:pPr>
      <w:r>
        <w:rPr>
          <w:color w:val="000000"/>
        </w:rPr>
        <w:t>El subsistema CE incluye sentencias de reparación directa de la Sección Tercera del Consejo de Estado, que conoció de las acciones de responsabilidad extracontractual del Estado por muerte de civiles en operaciones militares. Estos documentos representan el lenguaje contencioso-administrativo: más formal, más distante de los hechos, con énfasis en la falla del servicio y los criterios de responsabilidad del Estado.</w:t>
      </w:r>
    </w:p>
    <w:p w14:paraId="125B620F" w14:textId="77777777" w:rsidR="00D15BF7" w:rsidRDefault="00000000">
      <w:pPr>
        <w:spacing w:after="200" w:line="360" w:lineRule="auto"/>
        <w:ind w:firstLine="720"/>
        <w:jc w:val="both"/>
      </w:pPr>
      <w:r>
        <w:rPr>
          <w:color w:val="000000"/>
        </w:rPr>
        <w:t>El subsistema CSJ incluye sentencias de casación penal (SP) y autos de segunda instancia (AP) de la Sala de Casación Penal, que conoció de los recursos interpuestos contra condenas por homicidio en persona protegida. Estos documentos representan el lenguaje penal: más próximo a los hechos, con secciones específicas como los Hechos Jurídicamente Relevantes y los Cargos, donde coexisten el lenguaje militar original y el lenguaje de los derechos humanos.</w:t>
      </w:r>
    </w:p>
    <w:p w14:paraId="56CD850E" w14:textId="77777777" w:rsidR="00D15BF7" w:rsidRDefault="00000000">
      <w:pPr>
        <w:pStyle w:val="Ttulo3"/>
      </w:pPr>
      <w:r>
        <w:t>4.2.2 Corpus B — Justicia transicional escrita</w:t>
      </w:r>
    </w:p>
    <w:p w14:paraId="25765F5A" w14:textId="77777777" w:rsidR="00D15BF7" w:rsidRDefault="00000000">
      <w:pPr>
        <w:spacing w:after="200" w:line="360" w:lineRule="auto"/>
        <w:ind w:firstLine="720"/>
        <w:jc w:val="both"/>
      </w:pPr>
      <w:r>
        <w:rPr>
          <w:color w:val="000000"/>
        </w:rPr>
        <w:t>El Corpus B está compuesto por providencias escritas de la Sala de Reconocimiento de Verdad, de Responsabilidad y de Determinación de los Hechos y Conductas (SRVR) de la JEP, en el marco del Macrocaso 003. La selección prioriza los documentos de mayor densidad analítica: los autos de determinación de hechos y conductas y las resoluciones de conclusiones, que contienen la calificación jurídica más desarrollada y los reconocimientos de responsabilidad más completos.</w:t>
      </w:r>
    </w:p>
    <w:p w14:paraId="4934BD70" w14:textId="77777777" w:rsidR="00D15BF7" w:rsidRDefault="00D15BF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200"/>
        <w:gridCol w:w="4326"/>
      </w:tblGrid>
      <w:tr w:rsidR="00D15BF7" w14:paraId="40048B2C" w14:textId="77777777">
        <w:tblPrEx>
          <w:tblCellMar>
            <w:top w:w="0" w:type="dxa"/>
            <w:bottom w:w="0" w:type="dxa"/>
          </w:tblCellMar>
        </w:tblPrEx>
        <w:tc>
          <w:tcPr>
            <w:tcW w:w="35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07543EF1" w14:textId="77777777" w:rsidR="00D15BF7" w:rsidRDefault="00000000">
            <w:r>
              <w:rPr>
                <w:b/>
                <w:bCs/>
                <w:color w:val="FFFFFF"/>
                <w:sz w:val="20"/>
                <w:szCs w:val="20"/>
              </w:rPr>
              <w:t>Documento</w:t>
            </w:r>
          </w:p>
        </w:tc>
        <w:tc>
          <w:tcPr>
            <w:tcW w:w="12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45FF6171" w14:textId="77777777" w:rsidR="00D15BF7" w:rsidRDefault="00000000">
            <w:r>
              <w:rPr>
                <w:b/>
                <w:bCs/>
                <w:color w:val="FFFFFF"/>
                <w:sz w:val="20"/>
                <w:szCs w:val="20"/>
              </w:rPr>
              <w:t>Año</w:t>
            </w:r>
          </w:p>
        </w:tc>
        <w:tc>
          <w:tcPr>
            <w:tcW w:w="4326"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714A073C" w14:textId="77777777" w:rsidR="00D15BF7" w:rsidRDefault="00000000">
            <w:proofErr w:type="spellStart"/>
            <w:r>
              <w:rPr>
                <w:b/>
                <w:bCs/>
                <w:color w:val="FFFFFF"/>
                <w:sz w:val="20"/>
                <w:szCs w:val="20"/>
              </w:rPr>
              <w:t>Subcaso</w:t>
            </w:r>
            <w:proofErr w:type="spellEnd"/>
            <w:r>
              <w:rPr>
                <w:b/>
                <w:bCs/>
                <w:color w:val="FFFFFF"/>
                <w:sz w:val="20"/>
                <w:szCs w:val="20"/>
              </w:rPr>
              <w:t xml:space="preserve"> / cobertura</w:t>
            </w:r>
          </w:p>
        </w:tc>
      </w:tr>
      <w:tr w:rsidR="00D15BF7" w14:paraId="175F8D6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5BF2ED" w14:textId="77777777" w:rsidR="00D15BF7" w:rsidRDefault="00000000">
            <w:r>
              <w:rPr>
                <w:color w:val="000000"/>
                <w:sz w:val="20"/>
                <w:szCs w:val="20"/>
              </w:rPr>
              <w:lastRenderedPageBreak/>
              <w:t>Auto 005/2018 — Apertura Caso 03</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831CB4" w14:textId="77777777" w:rsidR="00D15BF7" w:rsidRDefault="00000000">
            <w:r>
              <w:rPr>
                <w:color w:val="000000"/>
                <w:sz w:val="20"/>
                <w:szCs w:val="20"/>
              </w:rPr>
              <w:t>2018</w:t>
            </w:r>
          </w:p>
        </w:tc>
        <w:tc>
          <w:tcPr>
            <w:tcW w:w="4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F0FE7A" w14:textId="77777777" w:rsidR="00D15BF7" w:rsidRDefault="00000000">
            <w:r>
              <w:rPr>
                <w:color w:val="000000"/>
                <w:sz w:val="20"/>
                <w:szCs w:val="20"/>
              </w:rPr>
              <w:t>Nacional — apertura y priorización inicial</w:t>
            </w:r>
          </w:p>
        </w:tc>
      </w:tr>
      <w:tr w:rsidR="00D15BF7" w14:paraId="6802F58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05E4B" w14:textId="77777777" w:rsidR="00D15BF7" w:rsidRDefault="00000000">
            <w:r>
              <w:rPr>
                <w:color w:val="000000"/>
                <w:sz w:val="20"/>
                <w:szCs w:val="20"/>
              </w:rPr>
              <w:t xml:space="preserve">Auto 033/2021 — Priorización de </w:t>
            </w:r>
            <w:proofErr w:type="spellStart"/>
            <w:r>
              <w:rPr>
                <w:color w:val="000000"/>
                <w:sz w:val="20"/>
                <w:szCs w:val="20"/>
              </w:rPr>
              <w:t>subcasos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E2DBA" w14:textId="77777777" w:rsidR="00D15BF7" w:rsidRDefault="00000000">
            <w:r>
              <w:rPr>
                <w:color w:val="000000"/>
                <w:sz w:val="20"/>
                <w:szCs w:val="20"/>
              </w:rPr>
              <w:t>2021</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012E" w14:textId="77777777" w:rsidR="00D15BF7" w:rsidRDefault="00000000">
            <w:r>
              <w:rPr>
                <w:color w:val="000000"/>
                <w:sz w:val="20"/>
                <w:szCs w:val="20"/>
              </w:rPr>
              <w:t>Nacional — 6 zonas geográficas priorizadas</w:t>
            </w:r>
          </w:p>
        </w:tc>
      </w:tr>
      <w:tr w:rsidR="00D15BF7" w14:paraId="029E490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936377" w14:textId="77777777" w:rsidR="00D15BF7" w:rsidRDefault="00000000">
            <w:r>
              <w:rPr>
                <w:color w:val="000000"/>
                <w:sz w:val="20"/>
                <w:szCs w:val="20"/>
              </w:rPr>
              <w:t>Auto 125/2021 — Hechos y conductas Norte Santander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5B9C7B" w14:textId="77777777" w:rsidR="00D15BF7" w:rsidRDefault="00000000">
            <w:r>
              <w:rPr>
                <w:color w:val="000000"/>
                <w:sz w:val="20"/>
                <w:szCs w:val="20"/>
              </w:rPr>
              <w:t>2021</w:t>
            </w:r>
          </w:p>
        </w:tc>
        <w:tc>
          <w:tcPr>
            <w:tcW w:w="4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8EE2C4" w14:textId="77777777" w:rsidR="00D15BF7" w:rsidRDefault="00000000">
            <w:r>
              <w:rPr>
                <w:color w:val="000000"/>
                <w:sz w:val="20"/>
                <w:szCs w:val="20"/>
              </w:rPr>
              <w:t>Norte de Santander (Catatumbo) — 120 víctimas</w:t>
            </w:r>
          </w:p>
        </w:tc>
      </w:tr>
      <w:tr w:rsidR="00D15BF7" w14:paraId="7121448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37000" w14:textId="77777777" w:rsidR="00D15BF7" w:rsidRDefault="00000000">
            <w:r>
              <w:rPr>
                <w:color w:val="000000"/>
                <w:sz w:val="20"/>
                <w:szCs w:val="20"/>
              </w:rPr>
              <w:t>Auto 128/2021 — Hechos y conductas Costa Caribe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C722A" w14:textId="77777777" w:rsidR="00D15BF7" w:rsidRDefault="00000000">
            <w:r>
              <w:rPr>
                <w:color w:val="000000"/>
                <w:sz w:val="20"/>
                <w:szCs w:val="20"/>
              </w:rPr>
              <w:t>2021</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48EA6" w14:textId="77777777" w:rsidR="00D15BF7" w:rsidRDefault="00000000">
            <w:r>
              <w:rPr>
                <w:color w:val="000000"/>
                <w:sz w:val="20"/>
                <w:szCs w:val="20"/>
              </w:rPr>
              <w:t>Costa Caribe (Norte del Cesar, Sur de La Guajira)</w:t>
            </w:r>
          </w:p>
        </w:tc>
      </w:tr>
      <w:tr w:rsidR="00D15BF7" w14:paraId="5DC9A39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4EE129" w14:textId="77777777" w:rsidR="00D15BF7" w:rsidRDefault="00000000">
            <w:r>
              <w:rPr>
                <w:color w:val="000000"/>
                <w:sz w:val="20"/>
                <w:szCs w:val="20"/>
              </w:rPr>
              <w:t xml:space="preserve">Auto 055/2022 — </w:t>
            </w:r>
            <w:proofErr w:type="spellStart"/>
            <w:r>
              <w:rPr>
                <w:color w:val="000000"/>
                <w:sz w:val="20"/>
                <w:szCs w:val="20"/>
              </w:rPr>
              <w:t>Subcaso</w:t>
            </w:r>
            <w:proofErr w:type="spellEnd"/>
            <w:r>
              <w:rPr>
                <w:color w:val="000000"/>
                <w:sz w:val="20"/>
                <w:szCs w:val="20"/>
              </w:rPr>
              <w:t xml:space="preserve"> Casanare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20ADF3" w14:textId="77777777" w:rsidR="00D15BF7" w:rsidRDefault="00000000">
            <w:r>
              <w:rPr>
                <w:color w:val="000000"/>
                <w:sz w:val="20"/>
                <w:szCs w:val="20"/>
              </w:rPr>
              <w:t>2022</w:t>
            </w:r>
          </w:p>
        </w:tc>
        <w:tc>
          <w:tcPr>
            <w:tcW w:w="4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BE04C3" w14:textId="77777777" w:rsidR="00D15BF7" w:rsidRDefault="00000000">
            <w:r>
              <w:rPr>
                <w:color w:val="000000"/>
                <w:sz w:val="20"/>
                <w:szCs w:val="20"/>
              </w:rPr>
              <w:t>Casanare — 25 imputados</w:t>
            </w:r>
          </w:p>
        </w:tc>
      </w:tr>
      <w:tr w:rsidR="00D15BF7" w14:paraId="3AEBF04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62C6E" w14:textId="77777777" w:rsidR="00D15BF7" w:rsidRDefault="00000000">
            <w:r>
              <w:rPr>
                <w:color w:val="000000"/>
                <w:sz w:val="20"/>
                <w:szCs w:val="20"/>
              </w:rPr>
              <w:t>RC-01/2022 — Resolución Conclusiones Norte Santander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3377F" w14:textId="77777777" w:rsidR="00D15BF7" w:rsidRDefault="00000000">
            <w:r>
              <w:rPr>
                <w:color w:val="000000"/>
                <w:sz w:val="20"/>
                <w:szCs w:val="20"/>
              </w:rPr>
              <w:t>2022</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5048A" w14:textId="77777777" w:rsidR="00D15BF7" w:rsidRDefault="00000000">
            <w:r>
              <w:rPr>
                <w:color w:val="000000"/>
                <w:sz w:val="20"/>
                <w:szCs w:val="20"/>
              </w:rPr>
              <w:t>Norte de Santander — 11 comparecientes, 120 víctimas</w:t>
            </w:r>
          </w:p>
        </w:tc>
      </w:tr>
      <w:tr w:rsidR="00D15BF7" w14:paraId="76FAF66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6DE54F" w14:textId="77777777" w:rsidR="00D15BF7" w:rsidRDefault="00000000">
            <w:r>
              <w:rPr>
                <w:color w:val="000000"/>
                <w:sz w:val="20"/>
                <w:szCs w:val="20"/>
              </w:rPr>
              <w:t>RC-03/2022 — Resolución Conclusiones Costa Caribe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02B16E" w14:textId="77777777" w:rsidR="00D15BF7" w:rsidRDefault="00000000">
            <w:r>
              <w:rPr>
                <w:color w:val="000000"/>
                <w:sz w:val="20"/>
                <w:szCs w:val="20"/>
              </w:rPr>
              <w:t>2022</w:t>
            </w:r>
          </w:p>
        </w:tc>
        <w:tc>
          <w:tcPr>
            <w:tcW w:w="4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5DCFD5" w14:textId="77777777" w:rsidR="00D15BF7" w:rsidRDefault="00000000">
            <w:r>
              <w:rPr>
                <w:color w:val="000000"/>
                <w:sz w:val="20"/>
                <w:szCs w:val="20"/>
              </w:rPr>
              <w:t>Costa Caribe — 15 comparecientes (Bat. La Popa)</w:t>
            </w:r>
          </w:p>
        </w:tc>
      </w:tr>
      <w:tr w:rsidR="00D15BF7" w14:paraId="5D901F7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C511F" w14:textId="77777777" w:rsidR="00D15BF7" w:rsidRDefault="00000000">
            <w:r>
              <w:rPr>
                <w:color w:val="000000"/>
                <w:sz w:val="20"/>
                <w:szCs w:val="20"/>
              </w:rPr>
              <w:t>Auto ADHC julio 2023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0DB9D" w14:textId="77777777" w:rsidR="00D15BF7" w:rsidRDefault="00000000">
            <w:r>
              <w:rPr>
                <w:color w:val="000000"/>
                <w:sz w:val="20"/>
                <w:szCs w:val="20"/>
              </w:rPr>
              <w:t>2023</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60F92" w14:textId="77777777" w:rsidR="00D15BF7" w:rsidRDefault="00000000">
            <w:r>
              <w:rPr>
                <w:color w:val="000000"/>
                <w:sz w:val="20"/>
                <w:szCs w:val="20"/>
              </w:rPr>
              <w:t>Nacional — actualización universo de víctimas</w:t>
            </w:r>
          </w:p>
        </w:tc>
      </w:tr>
      <w:tr w:rsidR="00D15BF7" w14:paraId="5180A36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14FB3D" w14:textId="77777777" w:rsidR="00D15BF7" w:rsidRPr="006F0438" w:rsidRDefault="00000000">
            <w:pPr>
              <w:rPr>
                <w:lang w:val="pt-BR"/>
              </w:rPr>
            </w:pPr>
            <w:r w:rsidRPr="006F0438">
              <w:rPr>
                <w:color w:val="000000"/>
                <w:sz w:val="20"/>
                <w:szCs w:val="20"/>
                <w:lang w:val="pt-BR"/>
              </w:rPr>
              <w:t>Auto SUB D-062/2023 — Antioquia (Montoya)</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F74487" w14:textId="77777777" w:rsidR="00D15BF7" w:rsidRDefault="00000000">
            <w:r>
              <w:rPr>
                <w:color w:val="000000"/>
                <w:sz w:val="20"/>
                <w:szCs w:val="20"/>
              </w:rPr>
              <w:t>2023</w:t>
            </w:r>
          </w:p>
        </w:tc>
        <w:tc>
          <w:tcPr>
            <w:tcW w:w="4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0CC224" w14:textId="77777777" w:rsidR="00D15BF7" w:rsidRDefault="00000000">
            <w:r>
              <w:rPr>
                <w:color w:val="000000"/>
                <w:sz w:val="20"/>
                <w:szCs w:val="20"/>
              </w:rPr>
              <w:t>Antioquia — General Mario Montoya Uribe</w:t>
            </w:r>
          </w:p>
        </w:tc>
      </w:tr>
      <w:tr w:rsidR="00D15BF7" w14:paraId="216060A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9E629" w14:textId="77777777" w:rsidR="00D15BF7" w:rsidRPr="006F0438" w:rsidRDefault="00000000">
            <w:pPr>
              <w:rPr>
                <w:lang w:val="pt-BR"/>
              </w:rPr>
            </w:pPr>
            <w:r w:rsidRPr="006F0438">
              <w:rPr>
                <w:color w:val="000000"/>
                <w:sz w:val="20"/>
                <w:szCs w:val="20"/>
                <w:lang w:val="pt-BR"/>
              </w:rPr>
              <w:t>Auto SUB D-081/2023 — Subcaso Huila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F85C4" w14:textId="77777777" w:rsidR="00D15BF7" w:rsidRDefault="00000000">
            <w:r>
              <w:rPr>
                <w:color w:val="000000"/>
                <w:sz w:val="20"/>
                <w:szCs w:val="20"/>
              </w:rPr>
              <w:t>2023</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B85FF" w14:textId="77777777" w:rsidR="00D15BF7" w:rsidRDefault="00000000">
            <w:r>
              <w:rPr>
                <w:color w:val="000000"/>
                <w:sz w:val="20"/>
                <w:szCs w:val="20"/>
              </w:rPr>
              <w:t>Huila — determinación de hechos y conductas</w:t>
            </w:r>
          </w:p>
        </w:tc>
      </w:tr>
      <w:tr w:rsidR="00D15BF7" w14:paraId="3A92B83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968B86B" w14:textId="77777777" w:rsidR="00D15BF7" w:rsidRDefault="00000000">
            <w:proofErr w:type="gramStart"/>
            <w:r>
              <w:rPr>
                <w:b/>
                <w:bCs/>
                <w:color w:val="000000"/>
                <w:sz w:val="20"/>
                <w:szCs w:val="20"/>
              </w:rPr>
              <w:t>Total</w:t>
            </w:r>
            <w:proofErr w:type="gramEnd"/>
            <w:r>
              <w:rPr>
                <w:b/>
                <w:bCs/>
                <w:color w:val="000000"/>
                <w:sz w:val="20"/>
                <w:szCs w:val="20"/>
              </w:rPr>
              <w:t xml:space="preserve"> Corpus B</w:t>
            </w:r>
          </w:p>
        </w:tc>
        <w:tc>
          <w:tcPr>
            <w:tcW w:w="1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11779ADE" w14:textId="77777777" w:rsidR="00D15BF7" w:rsidRDefault="00000000">
            <w:r>
              <w:rPr>
                <w:b/>
                <w:bCs/>
                <w:color w:val="000000"/>
                <w:sz w:val="20"/>
                <w:szCs w:val="20"/>
              </w:rPr>
              <w:t>10</w:t>
            </w:r>
          </w:p>
        </w:tc>
        <w:tc>
          <w:tcPr>
            <w:tcW w:w="4326"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47D00C1" w14:textId="77777777" w:rsidR="00D15BF7" w:rsidRDefault="00000000">
            <w:r>
              <w:rPr>
                <w:b/>
                <w:bCs/>
                <w:color w:val="000000"/>
                <w:sz w:val="20"/>
                <w:szCs w:val="20"/>
              </w:rPr>
              <w:t xml:space="preserve">58 secciones </w:t>
            </w:r>
            <w:proofErr w:type="gramStart"/>
            <w:r>
              <w:rPr>
                <w:b/>
                <w:bCs/>
                <w:color w:val="000000"/>
                <w:sz w:val="20"/>
                <w:szCs w:val="20"/>
              </w:rPr>
              <w:t>target</w:t>
            </w:r>
            <w:proofErr w:type="gramEnd"/>
            <w:r>
              <w:rPr>
                <w:b/>
                <w:bCs/>
                <w:color w:val="000000"/>
                <w:sz w:val="20"/>
                <w:szCs w:val="20"/>
              </w:rPr>
              <w:t xml:space="preserve"> | 2 Resoluciones de Conclusiones</w:t>
            </w:r>
          </w:p>
        </w:tc>
      </w:tr>
    </w:tbl>
    <w:p w14:paraId="29B2EAFB" w14:textId="77777777" w:rsidR="00D15BF7" w:rsidRDefault="00D15BF7">
      <w:pPr>
        <w:spacing w:after="120"/>
      </w:pPr>
    </w:p>
    <w:p w14:paraId="4FED6B76" w14:textId="77777777" w:rsidR="00D15BF7" w:rsidRDefault="00000000">
      <w:pPr>
        <w:spacing w:after="200" w:line="360" w:lineRule="auto"/>
        <w:ind w:firstLine="720"/>
        <w:jc w:val="both"/>
      </w:pPr>
      <w:r>
        <w:rPr>
          <w:color w:val="000000"/>
        </w:rPr>
        <w:t xml:space="preserve">La Resolución de Conclusiones No. 3 (RC-03/2022) es el documento más rico analíticamente: con 31 secciones totales y 27 secciones </w:t>
      </w:r>
      <w:proofErr w:type="gramStart"/>
      <w:r>
        <w:rPr>
          <w:color w:val="000000"/>
        </w:rPr>
        <w:t>target</w:t>
      </w:r>
      <w:proofErr w:type="gramEnd"/>
      <w:r>
        <w:rPr>
          <w:color w:val="000000"/>
        </w:rPr>
        <w:t>, contiene reconocimientos individuales de responsabilidad de los 15 comparecientes del Batallón de Artillería No. 2 «La Popa», calificaciones jurídicas detalladas y propuestas de sanción restaurativa. Su densidad de indicadores REP la convierte en el documento con mayor potencial para el cálculo de η₂.</w:t>
      </w:r>
    </w:p>
    <w:p w14:paraId="62406442" w14:textId="77777777" w:rsidR="00D15BF7" w:rsidRDefault="00000000">
      <w:pPr>
        <w:pStyle w:val="Ttulo3"/>
      </w:pPr>
      <w:r>
        <w:t>4.2.3 Corpus C — Justicia transicional oral</w:t>
      </w:r>
    </w:p>
    <w:p w14:paraId="5B532260" w14:textId="77777777" w:rsidR="00D15BF7" w:rsidRDefault="00000000">
      <w:pPr>
        <w:spacing w:after="200" w:line="360" w:lineRule="auto"/>
        <w:ind w:firstLine="720"/>
        <w:jc w:val="both"/>
      </w:pPr>
      <w:r>
        <w:rPr>
          <w:color w:val="000000"/>
        </w:rPr>
        <w:t>El Corpus C está compuesto por transcripciones de las audiencias públicas de reconocimiento de verdad y de responsabilidad celebradas en el marco del Macrocaso 003. Estas audiencias representan la dimensión oral y dialógica del proceso transicional: son los momentos en que los comparecientes hablan directamente ante las víctimas y la sociedad, en voz propia, asumiendo responsabilidad por sus crímenes.</w:t>
      </w:r>
    </w:p>
    <w:p w14:paraId="1F5A9405" w14:textId="77777777" w:rsidR="00D15BF7" w:rsidRDefault="00000000">
      <w:pPr>
        <w:spacing w:after="200" w:line="360" w:lineRule="auto"/>
        <w:ind w:firstLine="720"/>
        <w:jc w:val="both"/>
      </w:pPr>
      <w:r>
        <w:rPr>
          <w:color w:val="000000"/>
        </w:rPr>
        <w:lastRenderedPageBreak/>
        <w:t xml:space="preserve">Dado el volumen del material audiovisual disponible —más de 600 horas de grabación— el Corpus C es una muestra estratificada de entre 20 y 30 videos de las audiencias de reconocimiento de los </w:t>
      </w:r>
      <w:proofErr w:type="spellStart"/>
      <w:r>
        <w:rPr>
          <w:color w:val="000000"/>
        </w:rPr>
        <w:t>subcasos</w:t>
      </w:r>
      <w:proofErr w:type="spellEnd"/>
      <w:r>
        <w:rPr>
          <w:color w:val="000000"/>
        </w:rPr>
        <w:t xml:space="preserve"> Norte de Santander (Ocaña, abril 2022) y Costa Caribe, seleccionados para representar tanto comparecientes de alto rango como de menor jerarquía, y tanto intervenciones de comparecientes como de víctimas. Las transcripciones se producen mediante reconocimiento automático del habla con </w:t>
      </w:r>
      <w:proofErr w:type="spellStart"/>
      <w:r>
        <w:rPr>
          <w:color w:val="000000"/>
        </w:rPr>
        <w:t>Whisper</w:t>
      </w:r>
      <w:proofErr w:type="spellEnd"/>
      <w:r>
        <w:rPr>
          <w:color w:val="000000"/>
        </w:rPr>
        <w:t xml:space="preserve"> (</w:t>
      </w:r>
      <w:proofErr w:type="spellStart"/>
      <w:r>
        <w:rPr>
          <w:color w:val="000000"/>
        </w:rPr>
        <w:t>OpenAI</w:t>
      </w:r>
      <w:proofErr w:type="spellEnd"/>
      <w:r>
        <w:rPr>
          <w:color w:val="000000"/>
        </w:rPr>
        <w:t>, 2022) en variante español colombiano.</w:t>
      </w:r>
    </w:p>
    <w:p w14:paraId="70ED40CE" w14:textId="77777777" w:rsidR="00D15BF7" w:rsidRDefault="00000000">
      <w:pPr>
        <w:spacing w:after="200" w:line="360" w:lineRule="auto"/>
        <w:ind w:firstLine="720"/>
        <w:jc w:val="both"/>
      </w:pPr>
      <w:r>
        <w:rPr>
          <w:color w:val="000000"/>
        </w:rPr>
        <w:t xml:space="preserve">El Corpus C es el único que activa el indicador y₁₂ (features acústicas mediante </w:t>
      </w:r>
      <w:proofErr w:type="spellStart"/>
      <w:r>
        <w:rPr>
          <w:color w:val="000000"/>
        </w:rPr>
        <w:t>OpenSMILE</w:t>
      </w:r>
      <w:proofErr w:type="spellEnd"/>
      <w:r>
        <w:rPr>
          <w:color w:val="000000"/>
        </w:rPr>
        <w:t>/</w:t>
      </w:r>
      <w:proofErr w:type="spellStart"/>
      <w:r>
        <w:rPr>
          <w:color w:val="000000"/>
        </w:rPr>
        <w:t>eGeMAPS</w:t>
      </w:r>
      <w:proofErr w:type="spellEnd"/>
      <w:r>
        <w:rPr>
          <w:color w:val="000000"/>
        </w:rPr>
        <w:t>): el análisis de prosodia, tono y marcadores de tensión emocional en las declaraciones orales, que complementa el análisis textual con una dimensión multimodal. Para los corpus A y B, y₁₂ = 0.</w:t>
      </w:r>
    </w:p>
    <w:p w14:paraId="58DC197E" w14:textId="77777777" w:rsidR="00D15BF7" w:rsidRDefault="00D15BF7">
      <w:pPr>
        <w:spacing w:after="120"/>
      </w:pPr>
    </w:p>
    <w:p w14:paraId="0ECADDF4" w14:textId="77777777" w:rsidR="00D15BF7" w:rsidRDefault="00000000">
      <w:pPr>
        <w:pStyle w:val="Ttulo2"/>
      </w:pPr>
      <w:r>
        <w:t>4.3 Pipeline de ingesta y procesamiento</w:t>
      </w:r>
    </w:p>
    <w:p w14:paraId="17B191B1" w14:textId="77777777" w:rsidR="00D15BF7" w:rsidRDefault="00000000">
      <w:pPr>
        <w:spacing w:after="200" w:line="360" w:lineRule="auto"/>
        <w:ind w:firstLine="720"/>
        <w:jc w:val="both"/>
      </w:pPr>
      <w:r>
        <w:rPr>
          <w:color w:val="000000"/>
        </w:rPr>
        <w:t>El pipeline de ingesta es la infraestructura computacional que transforma los documentos judiciales en bruto —archivos .</w:t>
      </w:r>
      <w:proofErr w:type="spellStart"/>
      <w:r>
        <w:rPr>
          <w:color w:val="000000"/>
        </w:rPr>
        <w:t>doc</w:t>
      </w:r>
      <w:proofErr w:type="spellEnd"/>
      <w:r>
        <w:rPr>
          <w:color w:val="000000"/>
        </w:rPr>
        <w:t>, .docx, .pdf— en representaciones estructuradas (JSON) sobre las que opera el extractor de características. El pipeline implementa el principio de cadena de custodia digital: cada transformación es auditable y reproducible mediante un identificador SHA-256 que acompaña a cada documento procesado.</w:t>
      </w:r>
    </w:p>
    <w:p w14:paraId="122EE1AF" w14:textId="77777777" w:rsidR="00D15BF7" w:rsidRDefault="00000000">
      <w:pPr>
        <w:pStyle w:val="Ttulo3"/>
      </w:pPr>
      <w:r>
        <w:t>4.3.1 Módulo de limpieza (cleaner.py)</w:t>
      </w:r>
    </w:p>
    <w:p w14:paraId="2B94BAC3" w14:textId="77777777" w:rsidR="00D15BF7" w:rsidRDefault="00000000">
      <w:pPr>
        <w:spacing w:after="200" w:line="360" w:lineRule="auto"/>
        <w:ind w:firstLine="720"/>
        <w:jc w:val="both"/>
      </w:pPr>
      <w:r>
        <w:rPr>
          <w:color w:val="000000"/>
        </w:rPr>
        <w:t>El módulo de limpieza aplica siete pasos determinísticos de normalización textual: normalización de codificación a UTF-8, eliminación de caracteres de control, normalización tipográfica (guiones, comillas), corrección de errores OCR específicos al dominio judicial colombiano (20 reglas calibradas sobre el corpus), normalización de espacios en blanco, eliminación de encabezados y pies de página repetitivos, y normalización de mayúsculas donde corresponde. Cada paso genera una entrada en el registro de transformaciones del documento.</w:t>
      </w:r>
    </w:p>
    <w:p w14:paraId="03CD898F" w14:textId="77777777" w:rsidR="00D15BF7" w:rsidRDefault="00000000">
      <w:pPr>
        <w:spacing w:after="200" w:line="360" w:lineRule="auto"/>
        <w:ind w:firstLine="720"/>
        <w:jc w:val="both"/>
      </w:pPr>
      <w:r>
        <w:rPr>
          <w:color w:val="000000"/>
        </w:rPr>
        <w:lastRenderedPageBreak/>
        <w:t>Las 20 reglas de corrección OCR fueron derivadas empíricamente del análisis de errores frecuentes en las digitalizaciones del Consejo Superior de la Judicatura y el corpus JEP. Incluyen correcciones de caracteres confundidos frecuentemente en documentos escaneados de baja resolución: «I» mayúscula → «l» minúscula entre letras, «0» → «o» entre letras, ligaduras rotas en «fi», «</w:t>
      </w:r>
      <w:proofErr w:type="spellStart"/>
      <w:r>
        <w:rPr>
          <w:color w:val="000000"/>
        </w:rPr>
        <w:t>fl</w:t>
      </w:r>
      <w:proofErr w:type="spellEnd"/>
      <w:r>
        <w:rPr>
          <w:color w:val="000000"/>
        </w:rPr>
        <w:t>», «</w:t>
      </w:r>
      <w:proofErr w:type="spellStart"/>
      <w:r>
        <w:rPr>
          <w:color w:val="000000"/>
        </w:rPr>
        <w:t>ff</w:t>
      </w:r>
      <w:proofErr w:type="spellEnd"/>
      <w:r>
        <w:rPr>
          <w:color w:val="000000"/>
        </w:rPr>
        <w:t>».</w:t>
      </w:r>
    </w:p>
    <w:p w14:paraId="7F22E7B2" w14:textId="77777777" w:rsidR="00D15BF7" w:rsidRPr="006F0438" w:rsidRDefault="00000000">
      <w:pPr>
        <w:pStyle w:val="Ttulo3"/>
        <w:rPr>
          <w:lang w:val="pt-BR"/>
        </w:rPr>
      </w:pPr>
      <w:r w:rsidRPr="006F0438">
        <w:rPr>
          <w:lang w:val="pt-BR"/>
        </w:rPr>
        <w:t>4.3.2 Módulo de metadatos (metadata.py)</w:t>
      </w:r>
    </w:p>
    <w:p w14:paraId="791F9311" w14:textId="77777777" w:rsidR="00D15BF7" w:rsidRDefault="00000000">
      <w:pPr>
        <w:spacing w:after="200" w:line="360" w:lineRule="auto"/>
        <w:ind w:firstLine="720"/>
        <w:jc w:val="both"/>
      </w:pPr>
      <w:r>
        <w:rPr>
          <w:color w:val="000000"/>
        </w:rPr>
        <w:t>El módulo de metadatos extrae cuatro categorías de información estructurada de la cabecera de cada documento: tribunal emisor, número de radicado, fecha de expedición y tipo de providencia. La extracción utiliza expresiones regulares calibradas para los tres subsistemas del corpus:</w:t>
      </w:r>
    </w:p>
    <w:p w14:paraId="4B59F9AC" w14:textId="77777777" w:rsidR="00D15BF7" w:rsidRDefault="00000000">
      <w:pPr>
        <w:pStyle w:val="Prrafodelista"/>
        <w:numPr>
          <w:ilvl w:val="0"/>
          <w:numId w:val="2"/>
        </w:numPr>
        <w:spacing w:after="120"/>
        <w:jc w:val="both"/>
      </w:pPr>
      <w:r>
        <w:t>CE (Consejo de Estado): radicados con formato NNNNN-NN-NN-NNN-AAAA-NNNNN-NN(NNNNNN), identificación de secciones y subsecciones.</w:t>
      </w:r>
    </w:p>
    <w:p w14:paraId="55CC171F" w14:textId="77777777" w:rsidR="00D15BF7" w:rsidRDefault="00000000">
      <w:pPr>
        <w:pStyle w:val="Prrafodelista"/>
        <w:numPr>
          <w:ilvl w:val="0"/>
          <w:numId w:val="2"/>
        </w:numPr>
        <w:spacing w:after="120"/>
        <w:jc w:val="both"/>
      </w:pPr>
      <w:r>
        <w:t>CSJ (Corte Suprema): radicados con formato SP/AP-NNNN-AAAA(NNNNNN), identificación de Sala de Casación Penal vs. otras salas.</w:t>
      </w:r>
    </w:p>
    <w:p w14:paraId="119FDFB9" w14:textId="77777777" w:rsidR="00D15BF7" w:rsidRDefault="00000000">
      <w:pPr>
        <w:pStyle w:val="Prrafodelista"/>
        <w:numPr>
          <w:ilvl w:val="0"/>
          <w:numId w:val="2"/>
        </w:numPr>
        <w:spacing w:after="120"/>
        <w:jc w:val="both"/>
      </w:pPr>
      <w:r>
        <w:t>JEP: radicados alfanuméricos, identificación del auto o resolución por número y año.</w:t>
      </w:r>
    </w:p>
    <w:p w14:paraId="3D567F6B" w14:textId="77777777" w:rsidR="00D15BF7" w:rsidRDefault="00D15BF7">
      <w:pPr>
        <w:spacing w:after="120"/>
      </w:pPr>
    </w:p>
    <w:p w14:paraId="3A630317" w14:textId="77777777" w:rsidR="00D15BF7" w:rsidRDefault="00000000">
      <w:pPr>
        <w:spacing w:after="200" w:line="360" w:lineRule="auto"/>
        <w:ind w:firstLine="720"/>
        <w:jc w:val="both"/>
      </w:pPr>
      <w:r>
        <w:rPr>
          <w:color w:val="000000"/>
        </w:rPr>
        <w:t>El módulo asigna a cada documento una puntuación de confianza de extracción (0–1) basada en cuántos de los cuatro campos fueron identificados exitosamente. El corpus procesado alcanza una confianza promedio de 90% (298/331 documentos con confianza ≥ 50%), con los casos de baja confianza correspondientes principalmente a documentos con cabeceras atípicas o muy deterioradas por digitalización.</w:t>
      </w:r>
    </w:p>
    <w:p w14:paraId="037A4D52" w14:textId="77777777" w:rsidR="00D15BF7" w:rsidRDefault="00000000">
      <w:pPr>
        <w:pStyle w:val="Ttulo3"/>
      </w:pPr>
      <w:r>
        <w:t>4.3.3 Módulo de segmentación (segmenter.py)</w:t>
      </w:r>
    </w:p>
    <w:p w14:paraId="05F4EC9A" w14:textId="77777777" w:rsidR="00D15BF7" w:rsidRDefault="00000000">
      <w:pPr>
        <w:spacing w:after="200" w:line="360" w:lineRule="auto"/>
        <w:ind w:firstLine="720"/>
        <w:jc w:val="both"/>
      </w:pPr>
      <w:r>
        <w:rPr>
          <w:color w:val="000000"/>
        </w:rPr>
        <w:t xml:space="preserve">El módulo de segmentación divide cada documento en sus secciones semánticamente significativas mediante reconocimiento de patrones de marcadores de sección específicos por subsistema. El </w:t>
      </w:r>
      <w:proofErr w:type="spellStart"/>
      <w:r>
        <w:rPr>
          <w:color w:val="000000"/>
        </w:rPr>
        <w:t>segmentador</w:t>
      </w:r>
      <w:proofErr w:type="spellEnd"/>
      <w:r>
        <w:rPr>
          <w:color w:val="000000"/>
        </w:rPr>
        <w:t xml:space="preserve"> garantiza cobertura total: </w:t>
      </w:r>
      <w:r>
        <w:rPr>
          <w:color w:val="000000"/>
        </w:rPr>
        <w:lastRenderedPageBreak/>
        <w:t xml:space="preserve">todo el texto queda asignado a alguna sección, sin pérdida de contenido. El diseño es conservador: ante la ambigüedad, un segmento se asigna a una sección genérica «CUERPO» en lugar de a una sección </w:t>
      </w:r>
      <w:proofErr w:type="gramStart"/>
      <w:r>
        <w:rPr>
          <w:color w:val="000000"/>
        </w:rPr>
        <w:t>target</w:t>
      </w:r>
      <w:proofErr w:type="gramEnd"/>
      <w:r>
        <w:rPr>
          <w:color w:val="000000"/>
        </w:rPr>
        <w:t xml:space="preserve"> incorrecta.</w:t>
      </w:r>
    </w:p>
    <w:p w14:paraId="2025910F" w14:textId="77777777" w:rsidR="00D15BF7" w:rsidRDefault="00000000">
      <w:pPr>
        <w:spacing w:after="200" w:line="360" w:lineRule="auto"/>
        <w:ind w:firstLine="720"/>
        <w:jc w:val="both"/>
      </w:pPr>
      <w:r>
        <w:rPr>
          <w:color w:val="000000"/>
        </w:rPr>
        <w:t xml:space="preserve">Las secciones </w:t>
      </w:r>
      <w:proofErr w:type="gramStart"/>
      <w:r>
        <w:rPr>
          <w:color w:val="000000"/>
        </w:rPr>
        <w:t>target</w:t>
      </w:r>
      <w:proofErr w:type="gramEnd"/>
      <w:r>
        <w:rPr>
          <w:color w:val="000000"/>
        </w:rPr>
        <w:t xml:space="preserve"> —las unidades analíticas sobre las que operan los extractores de características— varían por subsistema: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26"/>
        <w:gridCol w:w="3500"/>
      </w:tblGrid>
      <w:tr w:rsidR="00D15BF7" w14:paraId="70AE2B06" w14:textId="77777777">
        <w:tblPrEx>
          <w:tblCellMar>
            <w:top w:w="0" w:type="dxa"/>
            <w:bottom w:w="0" w:type="dxa"/>
          </w:tblCellMar>
        </w:tblPrEx>
        <w:tc>
          <w:tcPr>
            <w:tcW w:w="20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5C3AC05E" w14:textId="77777777" w:rsidR="00D15BF7" w:rsidRDefault="00000000">
            <w:r>
              <w:rPr>
                <w:b/>
                <w:bCs/>
                <w:color w:val="FFFFFF"/>
                <w:sz w:val="20"/>
                <w:szCs w:val="20"/>
              </w:rPr>
              <w:t>Subsistema</w:t>
            </w:r>
          </w:p>
        </w:tc>
        <w:tc>
          <w:tcPr>
            <w:tcW w:w="3526"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54F2C0C5" w14:textId="77777777" w:rsidR="00D15BF7" w:rsidRDefault="00000000">
            <w:r>
              <w:rPr>
                <w:b/>
                <w:bCs/>
                <w:color w:val="FFFFFF"/>
                <w:sz w:val="20"/>
                <w:szCs w:val="20"/>
              </w:rPr>
              <w:t xml:space="preserve">Secciones </w:t>
            </w:r>
            <w:proofErr w:type="gramStart"/>
            <w:r>
              <w:rPr>
                <w:b/>
                <w:bCs/>
                <w:color w:val="FFFFFF"/>
                <w:sz w:val="20"/>
                <w:szCs w:val="20"/>
              </w:rPr>
              <w:t>target</w:t>
            </w:r>
            <w:proofErr w:type="gramEnd"/>
          </w:p>
        </w:tc>
        <w:tc>
          <w:tcPr>
            <w:tcW w:w="35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7FDA319C" w14:textId="77777777" w:rsidR="00D15BF7" w:rsidRDefault="00000000">
            <w:r>
              <w:rPr>
                <w:b/>
                <w:bCs/>
                <w:color w:val="FFFFFF"/>
                <w:sz w:val="20"/>
                <w:szCs w:val="20"/>
              </w:rPr>
              <w:t>Relevancia CFH</w:t>
            </w:r>
          </w:p>
        </w:tc>
      </w:tr>
      <w:tr w:rsidR="00D15BF7" w14:paraId="54AFA4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B58109" w14:textId="77777777" w:rsidR="00D15BF7" w:rsidRDefault="00000000">
            <w:r>
              <w:rPr>
                <w:color w:val="000000"/>
                <w:sz w:val="20"/>
                <w:szCs w:val="20"/>
              </w:rPr>
              <w:t>CE</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2419DA" w14:textId="77777777" w:rsidR="00D15BF7" w:rsidRDefault="00000000">
            <w:r>
              <w:rPr>
                <w:color w:val="000000"/>
                <w:sz w:val="20"/>
                <w:szCs w:val="20"/>
              </w:rPr>
              <w:t>HECHOS, CONSIDERACIONES, DECISIÓN</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008308" w14:textId="77777777" w:rsidR="00D15BF7" w:rsidRDefault="00000000">
            <w:r>
              <w:rPr>
                <w:color w:val="000000"/>
                <w:sz w:val="20"/>
                <w:szCs w:val="20"/>
              </w:rPr>
              <w:t>Alta densidad EBI/SA en HECHOS; NV en CONSIDERACIONES</w:t>
            </w:r>
          </w:p>
        </w:tc>
      </w:tr>
      <w:tr w:rsidR="00D15BF7" w14:paraId="7D87CE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C2681" w14:textId="77777777" w:rsidR="00D15BF7" w:rsidRDefault="00000000">
            <w:r>
              <w:rPr>
                <w:color w:val="000000"/>
                <w:sz w:val="20"/>
                <w:szCs w:val="20"/>
              </w:rPr>
              <w:t>CSJ</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E1788" w14:textId="77777777" w:rsidR="00D15BF7" w:rsidRDefault="00000000">
            <w:r>
              <w:rPr>
                <w:color w:val="000000"/>
                <w:sz w:val="20"/>
                <w:szCs w:val="20"/>
              </w:rPr>
              <w:t>HECHOS JURÍDICAMENTE RELEVANTES, CARGOS, CONSIDERACIONES DE LA CORTE, DECISIÓN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968D7" w14:textId="77777777" w:rsidR="00D15BF7" w:rsidRDefault="00000000">
            <w:r>
              <w:rPr>
                <w:color w:val="000000"/>
                <w:sz w:val="20"/>
                <w:szCs w:val="20"/>
              </w:rPr>
              <w:t>Coexistencia EBI/REP en CARGOS; calificación jurídica en CONSIDERACIONES</w:t>
            </w:r>
          </w:p>
        </w:tc>
      </w:tr>
      <w:tr w:rsidR="00D15BF7" w14:paraId="4C1859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1A5D98" w14:textId="77777777" w:rsidR="00D15BF7" w:rsidRDefault="00000000">
            <w:r>
              <w:rPr>
                <w:color w:val="000000"/>
                <w:sz w:val="20"/>
                <w:szCs w:val="20"/>
              </w:rPr>
              <w:t>JEP escrita</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858808" w14:textId="77777777" w:rsidR="00D15BF7" w:rsidRDefault="00000000">
            <w:r>
              <w:rPr>
                <w:color w:val="000000"/>
                <w:sz w:val="20"/>
                <w:szCs w:val="20"/>
              </w:rPr>
              <w:t>HECHOS_Y_CONDUCTAS, PATRONES_MACROCRIMINALES, CALIFICACION_JURIDICA, RECONOCIMIENTO, RESUELVE</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C05F65" w14:textId="77777777" w:rsidR="00D15BF7" w:rsidRDefault="00000000">
            <w:r>
              <w:rPr>
                <w:color w:val="000000"/>
                <w:sz w:val="20"/>
                <w:szCs w:val="20"/>
              </w:rPr>
              <w:t>Alta densidad REP en RECONOCIMIENTO; tensión discursiva máxima en CALIFICACION_JURIDICA</w:t>
            </w:r>
          </w:p>
        </w:tc>
      </w:tr>
      <w:tr w:rsidR="00D15BF7" w14:paraId="4FAECD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E5700" w14:textId="77777777" w:rsidR="00D15BF7" w:rsidRDefault="00000000">
            <w:r>
              <w:rPr>
                <w:color w:val="000000"/>
                <w:sz w:val="20"/>
                <w:szCs w:val="20"/>
              </w:rPr>
              <w:t>JEP oral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888C" w14:textId="77777777" w:rsidR="00D15BF7" w:rsidRDefault="00000000">
            <w:r>
              <w:rPr>
                <w:color w:val="000000"/>
                <w:sz w:val="20"/>
                <w:szCs w:val="20"/>
              </w:rPr>
              <w:t>TESTIMONIO_COMPARECIENTE, TESTIMONIO_VICTIMA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F2BC3" w14:textId="77777777" w:rsidR="00D15BF7" w:rsidRDefault="00000000">
            <w:r>
              <w:rPr>
                <w:color w:val="000000"/>
                <w:sz w:val="20"/>
                <w:szCs w:val="20"/>
              </w:rPr>
              <w:t xml:space="preserve">REP pura + features acústicas (y₁₂) — Corpus C: 5 audiencias, 45.9h, 1.17M </w:t>
            </w:r>
            <w:proofErr w:type="spellStart"/>
            <w:r>
              <w:rPr>
                <w:color w:val="000000"/>
                <w:sz w:val="20"/>
                <w:szCs w:val="20"/>
              </w:rPr>
              <w:t>chars</w:t>
            </w:r>
            <w:proofErr w:type="spellEnd"/>
          </w:p>
        </w:tc>
      </w:tr>
    </w:tbl>
    <w:p w14:paraId="001EE122" w14:textId="77777777" w:rsidR="00D15BF7" w:rsidRDefault="00D15BF7">
      <w:pPr>
        <w:spacing w:after="120"/>
      </w:pPr>
    </w:p>
    <w:p w14:paraId="3BAF7546" w14:textId="77777777" w:rsidR="00D15BF7" w:rsidRDefault="00000000">
      <w:pPr>
        <w:pStyle w:val="Ttulo3"/>
      </w:pPr>
      <w:r>
        <w:t>4.3.4 Tecnologías de conversión</w:t>
      </w:r>
    </w:p>
    <w:p w14:paraId="5532C071" w14:textId="77777777" w:rsidR="00D15BF7" w:rsidRDefault="00000000">
      <w:pPr>
        <w:spacing w:after="200" w:line="360" w:lineRule="auto"/>
        <w:ind w:firstLine="720"/>
        <w:jc w:val="both"/>
      </w:pPr>
      <w:r>
        <w:rPr>
          <w:color w:val="000000"/>
        </w:rPr>
        <w:t>El corpus en bruto incluye documentos en múltiples formatos que requieren estrategias de conversión diferenciadas. Los archivos .</w:t>
      </w:r>
      <w:proofErr w:type="spellStart"/>
      <w:r>
        <w:rPr>
          <w:color w:val="000000"/>
        </w:rPr>
        <w:t>doc</w:t>
      </w:r>
      <w:proofErr w:type="spellEnd"/>
      <w:r>
        <w:rPr>
          <w:color w:val="000000"/>
        </w:rPr>
        <w:t xml:space="preserve"> (formato </w:t>
      </w:r>
      <w:proofErr w:type="spellStart"/>
      <w:r>
        <w:rPr>
          <w:color w:val="000000"/>
        </w:rPr>
        <w:t>Legacy</w:t>
      </w:r>
      <w:proofErr w:type="spellEnd"/>
      <w:r>
        <w:rPr>
          <w:color w:val="000000"/>
        </w:rPr>
        <w:t xml:space="preserve"> Word) se convierten a texto plano mediante LibreOffice en modo </w:t>
      </w:r>
      <w:proofErr w:type="spellStart"/>
      <w:r>
        <w:rPr>
          <w:color w:val="000000"/>
        </w:rPr>
        <w:t>headless</w:t>
      </w:r>
      <w:proofErr w:type="spellEnd"/>
      <w:r>
        <w:rPr>
          <w:color w:val="000000"/>
        </w:rPr>
        <w:t xml:space="preserve">. Los archivos .docx se procesan con la biblioteca </w:t>
      </w:r>
      <w:proofErr w:type="spellStart"/>
      <w:r>
        <w:rPr>
          <w:color w:val="000000"/>
        </w:rPr>
        <w:t>python</w:t>
      </w:r>
      <w:proofErr w:type="spellEnd"/>
      <w:r>
        <w:rPr>
          <w:color w:val="000000"/>
        </w:rPr>
        <w:t xml:space="preserve">-docx. Los archivos PDF con texto seleccionable (generados digitalmente) se procesan con </w:t>
      </w:r>
      <w:proofErr w:type="spellStart"/>
      <w:r>
        <w:rPr>
          <w:color w:val="000000"/>
        </w:rPr>
        <w:t>pdfminer.six</w:t>
      </w:r>
      <w:proofErr w:type="spellEnd"/>
      <w:r>
        <w:rPr>
          <w:color w:val="000000"/>
        </w:rPr>
        <w:t xml:space="preserve">. Los archivos PDF escaneados —sin texto seleccionable— se someten a reconocimiento óptico de caracteres (OCR) mediante </w:t>
      </w:r>
      <w:proofErr w:type="spellStart"/>
      <w:r>
        <w:rPr>
          <w:color w:val="000000"/>
        </w:rPr>
        <w:t>Tesseract</w:t>
      </w:r>
      <w:proofErr w:type="spellEnd"/>
      <w:r>
        <w:rPr>
          <w:color w:val="000000"/>
        </w:rPr>
        <w:t xml:space="preserve"> v5.5 con el modelo entrenado para español (</w:t>
      </w:r>
      <w:proofErr w:type="spellStart"/>
      <w:proofErr w:type="gramStart"/>
      <w:r>
        <w:rPr>
          <w:color w:val="000000"/>
        </w:rPr>
        <w:t>spa.traineddata</w:t>
      </w:r>
      <w:proofErr w:type="spellEnd"/>
      <w:proofErr w:type="gramEnd"/>
      <w:r>
        <w:rPr>
          <w:color w:val="000000"/>
        </w:rPr>
        <w:t>), aplicando una resolución de 300 DPI para garantizar calidad de extracción adecuada.</w:t>
      </w:r>
    </w:p>
    <w:p w14:paraId="170D9841" w14:textId="77777777" w:rsidR="00D15BF7" w:rsidRDefault="00D15BF7">
      <w:pPr>
        <w:spacing w:after="120"/>
      </w:pPr>
    </w:p>
    <w:p w14:paraId="7F96A9FC" w14:textId="77777777" w:rsidR="00D15BF7" w:rsidRDefault="00000000">
      <w:pPr>
        <w:pStyle w:val="Ttulo2"/>
      </w:pPr>
      <w:r>
        <w:lastRenderedPageBreak/>
        <w:t>4.4 Taxonomía de anotación CFH y protocolo IAA</w:t>
      </w:r>
    </w:p>
    <w:p w14:paraId="5204277A" w14:textId="77777777" w:rsidR="00D15BF7" w:rsidRDefault="00000000">
      <w:pPr>
        <w:pStyle w:val="Ttulo3"/>
      </w:pPr>
      <w:r>
        <w:t>4.4.1 Las cuatro categorías de la Taxonomía CFH</w:t>
      </w:r>
    </w:p>
    <w:p w14:paraId="046B41C6" w14:textId="77777777" w:rsidR="00D15BF7" w:rsidRDefault="00000000">
      <w:pPr>
        <w:spacing w:after="200" w:line="360" w:lineRule="auto"/>
        <w:ind w:firstLine="720"/>
        <w:jc w:val="both"/>
      </w:pPr>
      <w:r>
        <w:rPr>
          <w:color w:val="000000"/>
        </w:rPr>
        <w:t xml:space="preserve">La Taxonomía CFH define cuatro categorías de anotación semántica que operacionalizan los mecanismos de violencia discursiva y reconocimiento identificados en el marco teórico. La unidad de anotación es el </w:t>
      </w:r>
      <w:proofErr w:type="spellStart"/>
      <w:r>
        <w:rPr>
          <w:color w:val="000000"/>
        </w:rPr>
        <w:t>span</w:t>
      </w:r>
      <w:proofErr w:type="spellEnd"/>
      <w:r>
        <w:rPr>
          <w:color w:val="000000"/>
        </w:rPr>
        <w:t>: una secuencia contigua de tokens que expresa un único mecanismo discursivo. Las cuatro categorías son mutuamente excluyentes a nivel de token: cada token recibe exactamente una etiqueta en el esquema BIO (</w:t>
      </w:r>
      <w:proofErr w:type="spellStart"/>
      <w:r>
        <w:rPr>
          <w:color w:val="000000"/>
        </w:rPr>
        <w:t>Beginning-Inside-Outside</w:t>
      </w:r>
      <w:proofErr w:type="spellEnd"/>
      <w:r>
        <w:rPr>
          <w:color w:val="000000"/>
        </w:rPr>
        <w:t>).</w:t>
      </w:r>
    </w:p>
    <w:p w14:paraId="21C7033A" w14:textId="77777777" w:rsidR="00D15BF7" w:rsidRDefault="00D15BF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3"/>
        <w:gridCol w:w="941"/>
        <w:gridCol w:w="2889"/>
        <w:gridCol w:w="3823"/>
      </w:tblGrid>
      <w:tr w:rsidR="00D15BF7" w14:paraId="76F9C9C5" w14:textId="77777777">
        <w:tblPrEx>
          <w:tblCellMar>
            <w:top w:w="0" w:type="dxa"/>
            <w:bottom w:w="0" w:type="dxa"/>
          </w:tblCellMar>
        </w:tblPrEx>
        <w:tc>
          <w:tcPr>
            <w:tcW w:w="12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6AD387AF" w14:textId="77777777" w:rsidR="00D15BF7" w:rsidRDefault="00000000">
            <w:r>
              <w:rPr>
                <w:b/>
                <w:bCs/>
                <w:color w:val="FFFFFF"/>
                <w:sz w:val="20"/>
                <w:szCs w:val="20"/>
              </w:rPr>
              <w:t>Categoría</w:t>
            </w:r>
          </w:p>
        </w:tc>
        <w:tc>
          <w:tcPr>
            <w:tcW w:w="8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50092694" w14:textId="77777777" w:rsidR="00D15BF7" w:rsidRDefault="00000000">
            <w:r>
              <w:rPr>
                <w:b/>
                <w:bCs/>
                <w:color w:val="FFFFFF"/>
                <w:sz w:val="20"/>
                <w:szCs w:val="20"/>
              </w:rPr>
              <w:t>Símbolo</w:t>
            </w:r>
          </w:p>
        </w:tc>
        <w:tc>
          <w:tcPr>
            <w:tcW w:w="30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0A19EC16" w14:textId="77777777" w:rsidR="00D15BF7" w:rsidRDefault="00000000">
            <w:r>
              <w:rPr>
                <w:b/>
                <w:bCs/>
                <w:color w:val="FFFFFF"/>
                <w:sz w:val="20"/>
                <w:szCs w:val="20"/>
              </w:rPr>
              <w:t>Definición operacional</w:t>
            </w:r>
          </w:p>
        </w:tc>
        <w:tc>
          <w:tcPr>
            <w:tcW w:w="4026"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1F82C62F" w14:textId="77777777" w:rsidR="00D15BF7" w:rsidRDefault="00000000">
            <w:r>
              <w:rPr>
                <w:b/>
                <w:bCs/>
                <w:color w:val="FFFFFF"/>
                <w:sz w:val="20"/>
                <w:szCs w:val="20"/>
              </w:rPr>
              <w:t>Variable latente</w:t>
            </w:r>
          </w:p>
        </w:tc>
      </w:tr>
      <w:tr w:rsidR="00D15BF7" w14:paraId="3DD82D0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BE7C75" w14:textId="77777777" w:rsidR="00D15BF7" w:rsidRDefault="00000000">
            <w:r>
              <w:rPr>
                <w:color w:val="000000"/>
                <w:sz w:val="20"/>
                <w:szCs w:val="20"/>
              </w:rPr>
              <w:t>Eufemismo Bélico-Institucional</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B971F1" w14:textId="77777777" w:rsidR="00D15BF7" w:rsidRDefault="00000000">
            <w:r>
              <w:rPr>
                <w:b/>
                <w:bCs/>
                <w:color w:val="000000"/>
                <w:sz w:val="20"/>
                <w:szCs w:val="20"/>
              </w:rPr>
              <w:t>EBI</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54F170" w14:textId="77777777" w:rsidR="00D15BF7" w:rsidRDefault="00000000">
            <w:r>
              <w:rPr>
                <w:color w:val="000000"/>
                <w:sz w:val="20"/>
                <w:szCs w:val="20"/>
              </w:rPr>
              <w:t>Expresión que reemplaza la denominación directa de un homicidio de civil por una denominación que lo enmarca como acción militar legítima</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BF02B8" w14:textId="77777777" w:rsidR="00D15BF7" w:rsidRDefault="00000000">
            <w:r>
              <w:rPr>
                <w:color w:val="000000"/>
                <w:sz w:val="20"/>
                <w:szCs w:val="20"/>
              </w:rPr>
              <w:t>ξ₁ Violencia Discursiva — indicador y₁</w:t>
            </w:r>
          </w:p>
        </w:tc>
      </w:tr>
      <w:tr w:rsidR="00D15BF7" w14:paraId="1EC6801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52E41" w14:textId="77777777" w:rsidR="00D15BF7" w:rsidRDefault="00000000">
            <w:r>
              <w:rPr>
                <w:color w:val="000000"/>
                <w:sz w:val="20"/>
                <w:szCs w:val="20"/>
              </w:rPr>
              <w:t xml:space="preserve">Supresión de </w:t>
            </w:r>
            <w:proofErr w:type="spellStart"/>
            <w:r>
              <w:rPr>
                <w:color w:val="000000"/>
                <w:sz w:val="20"/>
                <w:szCs w:val="20"/>
              </w:rPr>
              <w:t>Agentividad</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C47FB" w14:textId="77777777" w:rsidR="00D15BF7" w:rsidRDefault="00000000">
            <w:r>
              <w:rPr>
                <w:b/>
                <w:bCs/>
                <w:color w:val="000000"/>
                <w:sz w:val="20"/>
                <w:szCs w:val="20"/>
              </w:rPr>
              <w:t>SA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25642" w14:textId="77777777" w:rsidR="00D15BF7" w:rsidRDefault="00000000">
            <w:r>
              <w:rPr>
                <w:color w:val="000000"/>
                <w:sz w:val="20"/>
                <w:szCs w:val="20"/>
              </w:rPr>
              <w:t>Construcción gramatical que oculta al agente responsable de la acción violenta</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3CEEF" w14:textId="77777777" w:rsidR="00D15BF7" w:rsidRDefault="00000000">
            <w:r>
              <w:rPr>
                <w:color w:val="000000"/>
                <w:sz w:val="20"/>
                <w:szCs w:val="20"/>
              </w:rPr>
              <w:t>ξ₁ Violencia Discursiva — indicador y₂</w:t>
            </w:r>
          </w:p>
        </w:tc>
      </w:tr>
      <w:tr w:rsidR="00D15BF7" w14:paraId="7BF7D33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2BCC77" w14:textId="77777777" w:rsidR="00D15BF7" w:rsidRDefault="00000000">
            <w:r>
              <w:rPr>
                <w:color w:val="000000"/>
                <w:sz w:val="20"/>
                <w:szCs w:val="20"/>
              </w:rPr>
              <w:t>Negación de Victimización</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4FC539" w14:textId="77777777" w:rsidR="00D15BF7" w:rsidRDefault="00000000">
            <w:r>
              <w:rPr>
                <w:b/>
                <w:bCs/>
                <w:color w:val="000000"/>
                <w:sz w:val="20"/>
                <w:szCs w:val="20"/>
              </w:rPr>
              <w:t>NV</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4E0D4C" w14:textId="77777777" w:rsidR="00D15BF7" w:rsidRDefault="00000000">
            <w:r>
              <w:rPr>
                <w:color w:val="000000"/>
                <w:sz w:val="20"/>
                <w:szCs w:val="20"/>
              </w:rPr>
              <w:t>Expresión que recategoriza a la persona asesinada como combatiente o sujeto ilegítimo, negando su condición de víctima civil</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610489" w14:textId="77777777" w:rsidR="00D15BF7" w:rsidRDefault="00000000">
            <w:r>
              <w:rPr>
                <w:color w:val="000000"/>
                <w:sz w:val="20"/>
                <w:szCs w:val="20"/>
              </w:rPr>
              <w:t>ξ₁ Violencia Discursiva — indicador y₄</w:t>
            </w:r>
          </w:p>
        </w:tc>
      </w:tr>
      <w:tr w:rsidR="00D15BF7" w14:paraId="56C9F3B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E977B" w14:textId="77777777" w:rsidR="00D15BF7" w:rsidRDefault="00000000">
            <w:r>
              <w:rPr>
                <w:color w:val="000000"/>
                <w:sz w:val="20"/>
                <w:szCs w:val="20"/>
              </w:rPr>
              <w:t>Ruptura Epistémica Positiva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63402" w14:textId="77777777" w:rsidR="00D15BF7" w:rsidRDefault="00000000">
            <w:r>
              <w:rPr>
                <w:b/>
                <w:bCs/>
                <w:color w:val="000000"/>
                <w:sz w:val="20"/>
                <w:szCs w:val="20"/>
              </w:rPr>
              <w:t>REP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600F9" w14:textId="77777777" w:rsidR="00D15BF7" w:rsidRDefault="00000000">
            <w:r>
              <w:rPr>
                <w:color w:val="000000"/>
                <w:sz w:val="20"/>
                <w:szCs w:val="20"/>
              </w:rPr>
              <w:t>Expresión que reconoce explícitamente la condición de víctima civil, la ilegitimidad de la acción, o adopta el marco semántico de los derechos humanos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03EE7" w14:textId="77777777" w:rsidR="00D15BF7" w:rsidRDefault="00000000">
            <w:r>
              <w:rPr>
                <w:color w:val="000000"/>
                <w:sz w:val="20"/>
                <w:szCs w:val="20"/>
              </w:rPr>
              <w:t>η₂ Transición Epistémica — indicador y₁₀</w:t>
            </w:r>
          </w:p>
        </w:tc>
      </w:tr>
    </w:tbl>
    <w:p w14:paraId="1C979E7B" w14:textId="77777777" w:rsidR="00D15BF7" w:rsidRDefault="00D15BF7">
      <w:pPr>
        <w:spacing w:after="120"/>
      </w:pPr>
    </w:p>
    <w:p w14:paraId="7FA796D7" w14:textId="77777777" w:rsidR="00D15BF7" w:rsidRDefault="00000000">
      <w:pPr>
        <w:pStyle w:val="Ttulo3"/>
      </w:pPr>
      <w:r>
        <w:t xml:space="preserve">4.4.2 Protocolo de acuerdo </w:t>
      </w:r>
      <w:proofErr w:type="spellStart"/>
      <w:r>
        <w:t>inter-anotador</w:t>
      </w:r>
      <w:proofErr w:type="spellEnd"/>
      <w:r>
        <w:t xml:space="preserve"> (IAA)</w:t>
      </w:r>
    </w:p>
    <w:p w14:paraId="5B52C538" w14:textId="77777777" w:rsidR="00D15BF7" w:rsidRDefault="00000000">
      <w:pPr>
        <w:spacing w:after="200" w:line="360" w:lineRule="auto"/>
        <w:ind w:firstLine="720"/>
        <w:jc w:val="both"/>
      </w:pPr>
      <w:r>
        <w:rPr>
          <w:color w:val="000000"/>
        </w:rPr>
        <w:t xml:space="preserve">La validación de la taxonomía se realiza mediante un protocolo de anotación doble-ciega sobre una muestra de 100 fragmentos del corpus (50 del Corpus A y 50 del Corpus B), estratificados por subsistema y sección </w:t>
      </w:r>
      <w:proofErr w:type="gramStart"/>
      <w:r>
        <w:rPr>
          <w:color w:val="000000"/>
        </w:rPr>
        <w:t>target</w:t>
      </w:r>
      <w:proofErr w:type="gramEnd"/>
      <w:r>
        <w:rPr>
          <w:color w:val="000000"/>
        </w:rPr>
        <w:t xml:space="preserve">. La primera ronda de anotación fue completada por la autora sobre los 100 fragmentos en </w:t>
      </w:r>
      <w:proofErr w:type="spellStart"/>
      <w:r>
        <w:rPr>
          <w:color w:val="000000"/>
        </w:rPr>
        <w:t>Label</w:t>
      </w:r>
      <w:proofErr w:type="spellEnd"/>
      <w:r>
        <w:rPr>
          <w:color w:val="000000"/>
        </w:rPr>
        <w:t xml:space="preserve"> Studio, </w:t>
      </w:r>
      <w:r>
        <w:rPr>
          <w:color w:val="000000"/>
        </w:rPr>
        <w:lastRenderedPageBreak/>
        <w:t>produciendo 7.764 tokens anotados distribuidos entre las cuatro categorías (REP: 3.790, EBI: 1.839, SA: 913, NV: 326). La segunda ronda de anotación por un anotador independiente está en proceso; una vez completada, se calculará el coeficiente Cohen κ. Si κ &lt; 0.80, se activará el protocolo de adjudicación descrito a continuación.</w:t>
      </w:r>
    </w:p>
    <w:p w14:paraId="1164CCCA" w14:textId="77777777" w:rsidR="00D15BF7" w:rsidRDefault="00000000">
      <w:pPr>
        <w:spacing w:after="200" w:line="360" w:lineRule="auto"/>
        <w:ind w:firstLine="720"/>
        <w:jc w:val="both"/>
      </w:pPr>
      <w:r>
        <w:rPr>
          <w:color w:val="000000"/>
        </w:rPr>
        <w:t xml:space="preserve">El acuerdo </w:t>
      </w:r>
      <w:proofErr w:type="spellStart"/>
      <w:r>
        <w:rPr>
          <w:color w:val="000000"/>
        </w:rPr>
        <w:t>inter-anotador</w:t>
      </w:r>
      <w:proofErr w:type="spellEnd"/>
      <w:r>
        <w:rPr>
          <w:color w:val="000000"/>
        </w:rPr>
        <w:t xml:space="preserve"> se mide mediante el coeficiente Cohen κ, que corrige el acuerdo observado por el acuerdo esperado por azar. El umbral mínimo aceptable para esta investigación es κ &gt; 0.80, correspondiente a un acuerdo excelente según la escala de </w:t>
      </w:r>
      <w:proofErr w:type="spellStart"/>
      <w:r>
        <w:rPr>
          <w:color w:val="000000"/>
        </w:rPr>
        <w:t>Landis</w:t>
      </w:r>
      <w:proofErr w:type="spellEnd"/>
      <w:r>
        <w:rPr>
          <w:color w:val="000000"/>
        </w:rPr>
        <w:t xml:space="preserve"> y Koch (1977). Un resultado inferior a este umbral activa un protocolo de adjudicación: sesión conjunta de revisión de casos en desacuerdo, actualización de las reglas de desambiguación del protocolo, y </w:t>
      </w:r>
      <w:proofErr w:type="spellStart"/>
      <w:r>
        <w:rPr>
          <w:color w:val="000000"/>
        </w:rPr>
        <w:t>re-anotación</w:t>
      </w:r>
      <w:proofErr w:type="spellEnd"/>
      <w:r>
        <w:rPr>
          <w:color w:val="000000"/>
        </w:rPr>
        <w:t xml:space="preserve"> de los fragmentos afectados.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5BF7" w14:paraId="7D34F907" w14:textId="77777777">
        <w:tblPrEx>
          <w:tblCellMar>
            <w:top w:w="0" w:type="dxa"/>
            <w:bottom w:w="0" w:type="dxa"/>
          </w:tblCellMar>
        </w:tblPrEx>
        <w:tc>
          <w:tcPr>
            <w:tcW w:w="9026" w:type="dxa"/>
            <w:tcBorders>
              <w:top w:val="single" w:sz="2" w:space="0" w:color="0D9488"/>
              <w:left w:val="single" w:sz="6" w:space="0" w:color="0D9488"/>
              <w:bottom w:val="single" w:sz="2" w:space="0" w:color="0D9488"/>
            </w:tcBorders>
            <w:shd w:val="clear" w:color="auto" w:fill="E8F5F3"/>
            <w:tcMar>
              <w:top w:w="120" w:type="dxa"/>
              <w:left w:w="200" w:type="dxa"/>
              <w:bottom w:w="120" w:type="dxa"/>
              <w:right w:w="120" w:type="dxa"/>
            </w:tcMar>
          </w:tcPr>
          <w:p w14:paraId="631113E2" w14:textId="77777777" w:rsidR="00D15BF7" w:rsidRDefault="00000000">
            <w:pPr>
              <w:spacing w:after="80"/>
            </w:pPr>
            <w:r>
              <w:rPr>
                <w:b/>
                <w:bCs/>
                <w:color w:val="0D9488"/>
                <w:sz w:val="22"/>
                <w:szCs w:val="22"/>
              </w:rPr>
              <w:t>Fórmula 4.1 — Coeficiente Cohen κ</w:t>
            </w:r>
          </w:p>
          <w:p w14:paraId="2134AF47" w14:textId="77777777" w:rsidR="00D15BF7" w:rsidRDefault="00000000">
            <w:pPr>
              <w:jc w:val="both"/>
            </w:pPr>
            <w:r>
              <w:rPr>
                <w:color w:val="000000"/>
                <w:sz w:val="22"/>
                <w:szCs w:val="22"/>
              </w:rPr>
              <w:t>κ = (Po − Pe) / (1 − Pe), donde Po es la proporción observada de acuerdo y Pe es la proporción esperada de acuerdo por azar, calculada como la suma de los productos de las proporciones marginales de cada categoría.</w:t>
            </w:r>
          </w:p>
        </w:tc>
      </w:tr>
    </w:tbl>
    <w:p w14:paraId="74427142" w14:textId="77777777" w:rsidR="00D15BF7" w:rsidRDefault="00D15BF7">
      <w:pPr>
        <w:spacing w:after="120"/>
      </w:pPr>
    </w:p>
    <w:p w14:paraId="33FFEA96" w14:textId="77777777" w:rsidR="00D15BF7" w:rsidRDefault="00000000">
      <w:pPr>
        <w:pStyle w:val="Ttulo2"/>
      </w:pPr>
      <w:r>
        <w:t>4.5 Extracción de características y modelo SEM</w:t>
      </w:r>
    </w:p>
    <w:p w14:paraId="7BD74ED6" w14:textId="77777777" w:rsidR="00D15BF7" w:rsidRDefault="00000000">
      <w:pPr>
        <w:pStyle w:val="Ttulo3"/>
      </w:pPr>
      <w:r>
        <w:t xml:space="preserve">4.5.1 Modelo de lenguaje base: </w:t>
      </w:r>
      <w:proofErr w:type="spellStart"/>
      <w:r>
        <w:t>ConfliBERT</w:t>
      </w:r>
      <w:proofErr w:type="spellEnd"/>
      <w:r>
        <w:t>-Spanish</w:t>
      </w:r>
    </w:p>
    <w:p w14:paraId="0DF8597D" w14:textId="77777777" w:rsidR="00D15BF7" w:rsidRDefault="00000000">
      <w:pPr>
        <w:spacing w:after="200" w:line="360" w:lineRule="auto"/>
        <w:ind w:firstLine="720"/>
        <w:jc w:val="both"/>
      </w:pPr>
      <w:r>
        <w:rPr>
          <w:color w:val="000000"/>
        </w:rPr>
        <w:t xml:space="preserve">El extractor de características utiliza ConfliBERT-Spanish-Beto-Cased-v1 (Yang et al., 2023) como modelo de lenguaje base para los indicadores y₈ y </w:t>
      </w:r>
      <w:proofErr w:type="spellStart"/>
      <w:r>
        <w:rPr>
          <w:color w:val="000000"/>
        </w:rPr>
        <w:t>y</w:t>
      </w:r>
      <w:proofErr w:type="spellEnd"/>
      <w:r>
        <w:rPr>
          <w:color w:val="000000"/>
        </w:rPr>
        <w:t xml:space="preserve">₉. </w:t>
      </w:r>
      <w:proofErr w:type="spellStart"/>
      <w:r>
        <w:rPr>
          <w:color w:val="000000"/>
        </w:rPr>
        <w:t>ConfliBERT</w:t>
      </w:r>
      <w:proofErr w:type="spellEnd"/>
      <w:r>
        <w:rPr>
          <w:color w:val="000000"/>
        </w:rPr>
        <w:t xml:space="preserve">-Spanish es un modelo BERT preentrenado específicamente en corpus de conflicto político y violencia armada en español, disponible públicamente en </w:t>
      </w:r>
      <w:proofErr w:type="spellStart"/>
      <w:r>
        <w:rPr>
          <w:color w:val="000000"/>
        </w:rPr>
        <w:t>HuggingFace</w:t>
      </w:r>
      <w:proofErr w:type="spellEnd"/>
      <w:r>
        <w:rPr>
          <w:color w:val="000000"/>
        </w:rPr>
        <w:t xml:space="preserve"> (</w:t>
      </w:r>
      <w:proofErr w:type="spellStart"/>
      <w:r>
        <w:rPr>
          <w:color w:val="000000"/>
        </w:rPr>
        <w:t>eventdata-utd</w:t>
      </w:r>
      <w:proofErr w:type="spellEnd"/>
      <w:r>
        <w:rPr>
          <w:color w:val="000000"/>
        </w:rPr>
        <w:t>/ConfliBERT-Spanish-Beto-Cased-v1). Está basado en BETO (</w:t>
      </w:r>
      <w:proofErr w:type="spellStart"/>
      <w:r>
        <w:rPr>
          <w:color w:val="000000"/>
        </w:rPr>
        <w:t>bert</w:t>
      </w:r>
      <w:proofErr w:type="spellEnd"/>
      <w:r>
        <w:rPr>
          <w:color w:val="000000"/>
        </w:rPr>
        <w:t>-base-</w:t>
      </w:r>
      <w:proofErr w:type="spellStart"/>
      <w:r>
        <w:rPr>
          <w:color w:val="000000"/>
        </w:rPr>
        <w:t>spanish</w:t>
      </w:r>
      <w:proofErr w:type="spellEnd"/>
      <w:r>
        <w:rPr>
          <w:color w:val="000000"/>
        </w:rPr>
        <w:t>-</w:t>
      </w:r>
      <w:proofErr w:type="spellStart"/>
      <w:r>
        <w:rPr>
          <w:color w:val="000000"/>
        </w:rPr>
        <w:t>wwm-cased</w:t>
      </w:r>
      <w:proofErr w:type="spellEnd"/>
      <w:r>
        <w:rPr>
          <w:color w:val="000000"/>
        </w:rPr>
        <w:t xml:space="preserve">) con </w:t>
      </w:r>
      <w:proofErr w:type="spellStart"/>
      <w:r>
        <w:rPr>
          <w:color w:val="000000"/>
        </w:rPr>
        <w:t>continual</w:t>
      </w:r>
      <w:proofErr w:type="spellEnd"/>
      <w:r>
        <w:rPr>
          <w:color w:val="000000"/>
        </w:rPr>
        <w:t xml:space="preserve"> </w:t>
      </w:r>
      <w:proofErr w:type="spellStart"/>
      <w:r>
        <w:rPr>
          <w:color w:val="000000"/>
        </w:rPr>
        <w:t>pretraining</w:t>
      </w:r>
      <w:proofErr w:type="spellEnd"/>
      <w:r>
        <w:rPr>
          <w:color w:val="000000"/>
        </w:rPr>
        <w:t xml:space="preserve"> sobre un corpus especializado de ~200GB en conflicto y violencia política latinoamericana. A diferencia de modelos genéricos como BETO o </w:t>
      </w:r>
      <w:proofErr w:type="spellStart"/>
      <w:r>
        <w:rPr>
          <w:color w:val="000000"/>
        </w:rPr>
        <w:t>mBERT</w:t>
      </w:r>
      <w:proofErr w:type="spellEnd"/>
      <w:r>
        <w:rPr>
          <w:color w:val="000000"/>
        </w:rPr>
        <w:t xml:space="preserve">, </w:t>
      </w:r>
      <w:proofErr w:type="spellStart"/>
      <w:r>
        <w:rPr>
          <w:color w:val="000000"/>
        </w:rPr>
        <w:t>ConfliBERT</w:t>
      </w:r>
      <w:proofErr w:type="spellEnd"/>
      <w:r>
        <w:rPr>
          <w:color w:val="000000"/>
        </w:rPr>
        <w:t xml:space="preserve">-Spanish ha sido expuesto durante el preentrenamiento a vocabulario específico del análisis </w:t>
      </w:r>
      <w:r>
        <w:rPr>
          <w:color w:val="000000"/>
        </w:rPr>
        <w:lastRenderedPageBreak/>
        <w:t xml:space="preserve">de conflictos —incluyendo terminología militar, jurídica y de derechos humanos— lo que lo hace especialmente adecuado para calcular las distancias semánticas y₈ y </w:t>
      </w:r>
      <w:proofErr w:type="spellStart"/>
      <w:r>
        <w:rPr>
          <w:color w:val="000000"/>
        </w:rPr>
        <w:t>y</w:t>
      </w:r>
      <w:proofErr w:type="spellEnd"/>
      <w:r>
        <w:rPr>
          <w:color w:val="000000"/>
        </w:rPr>
        <w:t>₉ en el corpus judicial colombiano.</w:t>
      </w:r>
    </w:p>
    <w:p w14:paraId="0B8DB9B3" w14:textId="77777777" w:rsidR="00D15BF7" w:rsidRDefault="00000000">
      <w:pPr>
        <w:spacing w:after="200" w:line="360" w:lineRule="auto"/>
        <w:ind w:firstLine="720"/>
        <w:jc w:val="both"/>
      </w:pPr>
      <w:r>
        <w:rPr>
          <w:color w:val="000000"/>
        </w:rPr>
        <w:t xml:space="preserve">Los indicadores léxico-sintácticos y₁-y₄ e y₁₀ se extraen sin GPU mediante </w:t>
      </w:r>
      <w:proofErr w:type="spellStart"/>
      <w:r>
        <w:rPr>
          <w:color w:val="000000"/>
        </w:rPr>
        <w:t>spaCy</w:t>
      </w:r>
      <w:proofErr w:type="spellEnd"/>
      <w:r>
        <w:rPr>
          <w:color w:val="000000"/>
        </w:rPr>
        <w:t xml:space="preserve"> (</w:t>
      </w:r>
      <w:proofErr w:type="spellStart"/>
      <w:r>
        <w:rPr>
          <w:color w:val="000000"/>
        </w:rPr>
        <w:t>es_core_news_lg</w:t>
      </w:r>
      <w:proofErr w:type="spellEnd"/>
      <w:r>
        <w:rPr>
          <w:color w:val="000000"/>
        </w:rPr>
        <w:t>) y TF-IDF. El fine-</w:t>
      </w:r>
      <w:proofErr w:type="spellStart"/>
      <w:r>
        <w:rPr>
          <w:color w:val="000000"/>
        </w:rPr>
        <w:t>tuning</w:t>
      </w:r>
      <w:proofErr w:type="spellEnd"/>
      <w:r>
        <w:rPr>
          <w:color w:val="000000"/>
        </w:rPr>
        <w:t xml:space="preserve"> supervisado de dominio (CFH-BERT) se aplica en una etapa posterior, utilizando el corpus anotado con la Taxonomía CFH una vez alcanzado el umbral κ &gt; 0.80. CFH-BERT v1 fue entrenado sobre 100 anotaciones manuales produciendo </w:t>
      </w:r>
      <w:proofErr w:type="spellStart"/>
      <w:r>
        <w:rPr>
          <w:color w:val="000000"/>
        </w:rPr>
        <w:t>accuracy</w:t>
      </w:r>
      <w:proofErr w:type="spellEnd"/>
      <w:r>
        <w:rPr>
          <w:color w:val="000000"/>
        </w:rPr>
        <w:t xml:space="preserve">=68% y F1=0.71 para REP — versión piloto que será reemplazada por CFH-BERT v2 con esquema IO </w:t>
      </w:r>
      <w:proofErr w:type="spellStart"/>
      <w:r>
        <w:rPr>
          <w:color w:val="000000"/>
        </w:rPr>
        <w:t>tagging</w:t>
      </w:r>
      <w:proofErr w:type="spellEnd"/>
      <w:r>
        <w:rPr>
          <w:color w:val="000000"/>
        </w:rPr>
        <w:t xml:space="preserve"> y corpus anotado expandido.</w:t>
      </w:r>
    </w:p>
    <w:p w14:paraId="5719BEB9" w14:textId="77777777" w:rsidR="00D15BF7" w:rsidRDefault="00000000">
      <w:pPr>
        <w:pStyle w:val="Ttulo3"/>
      </w:pPr>
      <w:r>
        <w:t>4.5.2 Cálculo de los once indicadores observables</w:t>
      </w:r>
    </w:p>
    <w:p w14:paraId="11B6AFFA" w14:textId="77777777" w:rsidR="00D15BF7" w:rsidRDefault="00000000">
      <w:pPr>
        <w:spacing w:after="200" w:line="360" w:lineRule="auto"/>
        <w:ind w:firstLine="720"/>
        <w:jc w:val="both"/>
      </w:pPr>
      <w:r>
        <w:rPr>
          <w:color w:val="000000"/>
        </w:rPr>
        <w:t>Los once indicadores observables del modelo SEM se extraen mediante los siguientes métodos computacionales:</w:t>
      </w:r>
    </w:p>
    <w:p w14:paraId="2889CB76" w14:textId="77777777" w:rsidR="00D15BF7" w:rsidRDefault="00000000">
      <w:pPr>
        <w:spacing w:before="200" w:after="80"/>
      </w:pPr>
      <w:r>
        <w:rPr>
          <w:b/>
          <w:bCs/>
          <w:sz w:val="22"/>
          <w:szCs w:val="22"/>
        </w:rPr>
        <w:t>Indicadores de ξ₁ (Violencia Discursiva):</w:t>
      </w:r>
    </w:p>
    <w:p w14:paraId="494F25D7" w14:textId="77777777" w:rsidR="00D15BF7" w:rsidRDefault="00000000">
      <w:pPr>
        <w:pStyle w:val="Prrafodelista"/>
        <w:numPr>
          <w:ilvl w:val="0"/>
          <w:numId w:val="2"/>
        </w:numPr>
        <w:spacing w:after="120"/>
        <w:jc w:val="both"/>
      </w:pPr>
      <w:r>
        <w:t>y₁ — EBI Score: frecuencia normalizada de tokens anotados como EBI por sección, calculada mediante el extractor de ventana deslizante (</w:t>
      </w:r>
      <w:proofErr w:type="spellStart"/>
      <w:r>
        <w:t>window</w:t>
      </w:r>
      <w:proofErr w:type="spellEnd"/>
      <w:r>
        <w:t xml:space="preserve">=400 tokens, </w:t>
      </w:r>
      <w:proofErr w:type="spellStart"/>
      <w:r>
        <w:t>stride</w:t>
      </w:r>
      <w:proofErr w:type="spellEnd"/>
      <w:r>
        <w:t>=100) con promediado ponderado en zonas de solapamiento. El extractor incluye un normalizador calibrable (</w:t>
      </w:r>
      <w:proofErr w:type="spellStart"/>
      <w:r>
        <w:t>EBIScoreNormalizer</w:t>
      </w:r>
      <w:proofErr w:type="spellEnd"/>
      <w:r>
        <w:t>) con tres estrategias: percentil, z-score y min-</w:t>
      </w:r>
      <w:proofErr w:type="spellStart"/>
      <w:r>
        <w:t>max</w:t>
      </w:r>
      <w:proofErr w:type="spellEnd"/>
      <w:r>
        <w:t>.</w:t>
      </w:r>
    </w:p>
    <w:p w14:paraId="7C6B76E1" w14:textId="77777777" w:rsidR="00D15BF7" w:rsidRDefault="00000000">
      <w:pPr>
        <w:pStyle w:val="Prrafodelista"/>
        <w:numPr>
          <w:ilvl w:val="0"/>
          <w:numId w:val="2"/>
        </w:numPr>
        <w:spacing w:after="120"/>
        <w:jc w:val="both"/>
      </w:pPr>
      <w:r>
        <w:t xml:space="preserve">y₂ — SA Score: proporción de construcciones pasivas sin complemento agente, nominalizaciones de acción y sujetos impersonales </w:t>
      </w:r>
      <w:proofErr w:type="spellStart"/>
      <w:r>
        <w:t>encubrientes</w:t>
      </w:r>
      <w:proofErr w:type="spellEnd"/>
      <w:r>
        <w:t>, detectados mediante el clasificador de tokens CFH-BERT fine-tuneado para la categoría SA.</w:t>
      </w:r>
    </w:p>
    <w:p w14:paraId="41BC8468" w14:textId="77777777" w:rsidR="00D15BF7" w:rsidRDefault="00000000">
      <w:pPr>
        <w:pStyle w:val="Prrafodelista"/>
        <w:numPr>
          <w:ilvl w:val="0"/>
          <w:numId w:val="2"/>
        </w:numPr>
        <w:spacing w:after="120"/>
        <w:jc w:val="both"/>
      </w:pPr>
      <w:r>
        <w:t>y₃ — Distancia léxico civil: distancia coseno entre el vector léxico de la sección y un léxico de referencia civil (términos de ciudadanía, familia, trabajo, identidad personal), construido a partir de los testimonios de MAFAPO.</w:t>
      </w:r>
    </w:p>
    <w:p w14:paraId="78306E8F" w14:textId="77777777" w:rsidR="00D15BF7" w:rsidRDefault="00000000">
      <w:pPr>
        <w:pStyle w:val="Prrafodelista"/>
        <w:numPr>
          <w:ilvl w:val="0"/>
          <w:numId w:val="2"/>
        </w:numPr>
        <w:spacing w:after="120"/>
        <w:jc w:val="both"/>
      </w:pPr>
      <w:r>
        <w:t>y₄ — NV Score: frecuencia normalizada de tokens anotados como NV, calculada análogamente a y₁.</w:t>
      </w:r>
    </w:p>
    <w:p w14:paraId="750E498D" w14:textId="77777777" w:rsidR="00D15BF7" w:rsidRDefault="00D15BF7">
      <w:pPr>
        <w:spacing w:after="120"/>
      </w:pPr>
    </w:p>
    <w:p w14:paraId="40288BC0" w14:textId="77777777" w:rsidR="00D15BF7" w:rsidRPr="006F0438" w:rsidRDefault="00000000">
      <w:pPr>
        <w:spacing w:before="200" w:after="80"/>
        <w:rPr>
          <w:lang w:val="pt-BR"/>
        </w:rPr>
      </w:pPr>
      <w:r w:rsidRPr="006F0438">
        <w:rPr>
          <w:b/>
          <w:bCs/>
          <w:sz w:val="22"/>
          <w:szCs w:val="22"/>
          <w:lang w:val="pt-BR"/>
        </w:rPr>
        <w:t xml:space="preserve">Indicadores de </w:t>
      </w:r>
      <w:r>
        <w:rPr>
          <w:b/>
          <w:bCs/>
          <w:sz w:val="22"/>
          <w:szCs w:val="22"/>
        </w:rPr>
        <w:t>ξ</w:t>
      </w:r>
      <w:r w:rsidRPr="006F0438">
        <w:rPr>
          <w:b/>
          <w:bCs/>
          <w:sz w:val="22"/>
          <w:szCs w:val="22"/>
          <w:lang w:val="pt-BR"/>
        </w:rPr>
        <w:t>₂ (Contexto Institucional):</w:t>
      </w:r>
    </w:p>
    <w:p w14:paraId="6E862362" w14:textId="77777777" w:rsidR="00D15BF7" w:rsidRDefault="00000000">
      <w:pPr>
        <w:pStyle w:val="Prrafodelista"/>
        <w:numPr>
          <w:ilvl w:val="0"/>
          <w:numId w:val="2"/>
        </w:numPr>
        <w:spacing w:after="120"/>
        <w:jc w:val="both"/>
      </w:pPr>
      <w:r w:rsidRPr="006F0438">
        <w:rPr>
          <w:lang w:val="pt-BR"/>
        </w:rPr>
        <w:lastRenderedPageBreak/>
        <w:t xml:space="preserve">y₅ — Tipo de corpus: variable categórica codificada como 0 (Corpus A-CE), 1 (Corpus A-CSJ), 2 (Corpus B JEP escrita), 3 (Corpus C JEP oral). </w:t>
      </w:r>
      <w:r>
        <w:t>Operacionaliza el sistema de justicia como fuente de variación exógena.</w:t>
      </w:r>
    </w:p>
    <w:p w14:paraId="2B085041" w14:textId="77777777" w:rsidR="00D15BF7" w:rsidRDefault="00000000">
      <w:pPr>
        <w:pStyle w:val="Prrafodelista"/>
        <w:numPr>
          <w:ilvl w:val="0"/>
          <w:numId w:val="2"/>
        </w:numPr>
        <w:spacing w:after="120"/>
        <w:jc w:val="both"/>
      </w:pPr>
      <w:r>
        <w:t>y₆ — Período normativo: variable continua que codifica el año de expedición del documento, normalizada respecto al rango 1994–2023. Operacionaliza la variable temporal como fuente de variación exógena.</w:t>
      </w:r>
    </w:p>
    <w:p w14:paraId="78FB8595" w14:textId="77777777" w:rsidR="00D15BF7" w:rsidRDefault="00D15BF7">
      <w:pPr>
        <w:spacing w:after="120"/>
      </w:pPr>
    </w:p>
    <w:p w14:paraId="64409944" w14:textId="77777777" w:rsidR="00D15BF7" w:rsidRPr="006F0438" w:rsidRDefault="00000000">
      <w:pPr>
        <w:spacing w:before="200" w:after="80"/>
        <w:rPr>
          <w:lang w:val="pt-BR"/>
        </w:rPr>
      </w:pPr>
      <w:r w:rsidRPr="006F0438">
        <w:rPr>
          <w:b/>
          <w:bCs/>
          <w:sz w:val="22"/>
          <w:szCs w:val="22"/>
          <w:lang w:val="pt-BR"/>
        </w:rPr>
        <w:t xml:space="preserve">Indicadores de </w:t>
      </w:r>
      <w:r>
        <w:rPr>
          <w:b/>
          <w:bCs/>
          <w:sz w:val="22"/>
          <w:szCs w:val="22"/>
        </w:rPr>
        <w:t>η</w:t>
      </w:r>
      <w:r w:rsidRPr="006F0438">
        <w:rPr>
          <w:b/>
          <w:bCs/>
          <w:sz w:val="22"/>
          <w:szCs w:val="22"/>
          <w:lang w:val="pt-BR"/>
        </w:rPr>
        <w:t>₁ (DIS Score):</w:t>
      </w:r>
    </w:p>
    <w:p w14:paraId="1D44B486" w14:textId="77777777" w:rsidR="00D15BF7" w:rsidRDefault="00000000">
      <w:pPr>
        <w:pStyle w:val="Prrafodelista"/>
        <w:numPr>
          <w:ilvl w:val="0"/>
          <w:numId w:val="2"/>
        </w:numPr>
        <w:spacing w:after="120"/>
        <w:jc w:val="both"/>
      </w:pPr>
      <w:r>
        <w:t>y₇ — Surprisal: perplejidad promedio del segmento analizado respecto a un modelo de lenguaje de paz (</w:t>
      </w:r>
      <w:proofErr w:type="spellStart"/>
      <w:r>
        <w:t>Peace</w:t>
      </w:r>
      <w:proofErr w:type="spellEnd"/>
      <w:r>
        <w:t>-LM), construido sobre corpus del derecho internacional humanitario y la jurisprudencia de la CIDH. Un surprisal alto indica que el lenguaje del segmento es improbable bajo el modelo de paz — es decir, que es discursivamente distante de la semántica restaurativa.</w:t>
      </w:r>
    </w:p>
    <w:p w14:paraId="6FCE44F4" w14:textId="77777777" w:rsidR="00D15BF7" w:rsidRDefault="00000000">
      <w:pPr>
        <w:pStyle w:val="Prrafodelista"/>
        <w:numPr>
          <w:ilvl w:val="0"/>
          <w:numId w:val="2"/>
        </w:numPr>
        <w:spacing w:after="120"/>
        <w:jc w:val="both"/>
      </w:pPr>
      <w:r>
        <w:t xml:space="preserve">y₈ — Distancia MAFAPO: distancia coseno entre el </w:t>
      </w:r>
      <w:proofErr w:type="spellStart"/>
      <w:r>
        <w:t>embedding</w:t>
      </w:r>
      <w:proofErr w:type="spellEnd"/>
      <w:r>
        <w:t xml:space="preserve"> del segmento (promedio de los </w:t>
      </w:r>
      <w:proofErr w:type="spellStart"/>
      <w:r>
        <w:t>embeddings</w:t>
      </w:r>
      <w:proofErr w:type="spellEnd"/>
      <w:r>
        <w:t xml:space="preserve"> de tokens en </w:t>
      </w:r>
      <w:proofErr w:type="spellStart"/>
      <w:r>
        <w:t>ConfliBERT</w:t>
      </w:r>
      <w:proofErr w:type="spellEnd"/>
      <w:r>
        <w:t xml:space="preserve">-Spanish) y el centroide semántico MAFAPO, construido como promedio de los </w:t>
      </w:r>
      <w:proofErr w:type="spellStart"/>
      <w:r>
        <w:t>embeddings</w:t>
      </w:r>
      <w:proofErr w:type="spellEnd"/>
      <w:r>
        <w:t xml:space="preserve"> de los testimonios de las Madres de Falsos Positivos de Soacha y Bogotá.</w:t>
      </w:r>
    </w:p>
    <w:p w14:paraId="57384165" w14:textId="77777777" w:rsidR="00D15BF7" w:rsidRDefault="00000000">
      <w:pPr>
        <w:pStyle w:val="Prrafodelista"/>
        <w:numPr>
          <w:ilvl w:val="0"/>
          <w:numId w:val="2"/>
        </w:numPr>
        <w:spacing w:after="120"/>
        <w:jc w:val="both"/>
      </w:pPr>
      <w:r>
        <w:t xml:space="preserve">y₉ — Distancia CIDH: distancia coseno entre el </w:t>
      </w:r>
      <w:proofErr w:type="spellStart"/>
      <w:r>
        <w:t>embedding</w:t>
      </w:r>
      <w:proofErr w:type="spellEnd"/>
      <w:r>
        <w:t xml:space="preserve"> del segmento y el centroide semántico CIDH, construido como promedio de los </w:t>
      </w:r>
      <w:proofErr w:type="spellStart"/>
      <w:r>
        <w:t>embeddings</w:t>
      </w:r>
      <w:proofErr w:type="spellEnd"/>
      <w:r>
        <w:t xml:space="preserve"> de las sentencias de la Corte Interamericana de Derechos Humanos sobre ejecuciones extrajudiciales en Colombia.</w:t>
      </w:r>
    </w:p>
    <w:p w14:paraId="2431AA2B" w14:textId="77777777" w:rsidR="00D15BF7" w:rsidRDefault="00D15BF7">
      <w:pPr>
        <w:spacing w:after="120"/>
      </w:pPr>
    </w:p>
    <w:p w14:paraId="2059EB5F" w14:textId="77777777" w:rsidR="00D15BF7" w:rsidRDefault="00000000">
      <w:pPr>
        <w:spacing w:before="200" w:after="80"/>
      </w:pPr>
      <w:r>
        <w:rPr>
          <w:b/>
          <w:bCs/>
          <w:sz w:val="22"/>
          <w:szCs w:val="22"/>
        </w:rPr>
        <w:t>Indicadores de η₂ (Transición Epistémica):</w:t>
      </w:r>
    </w:p>
    <w:p w14:paraId="34A75462" w14:textId="77777777" w:rsidR="00D15BF7" w:rsidRDefault="00000000">
      <w:pPr>
        <w:pStyle w:val="Prrafodelista"/>
        <w:numPr>
          <w:ilvl w:val="0"/>
          <w:numId w:val="2"/>
        </w:numPr>
        <w:spacing w:after="120"/>
        <w:jc w:val="both"/>
      </w:pPr>
      <w:r>
        <w:t>y₁₀ — REP Score: frecuencia normalizada de tokens anotados como REP por sección, calculada análogamente a y₁.</w:t>
      </w:r>
    </w:p>
    <w:p w14:paraId="125D0846" w14:textId="77777777" w:rsidR="00D15BF7" w:rsidRDefault="00000000">
      <w:pPr>
        <w:pStyle w:val="Prrafodelista"/>
        <w:numPr>
          <w:ilvl w:val="0"/>
          <w:numId w:val="2"/>
        </w:numPr>
        <w:spacing w:after="120"/>
        <w:jc w:val="both"/>
      </w:pPr>
      <w:r>
        <w:t xml:space="preserve">y₁₁ — Convergencia restaurativa: similitud coseno entre el </w:t>
      </w:r>
      <w:proofErr w:type="spellStart"/>
      <w:r>
        <w:t>embedding</w:t>
      </w:r>
      <w:proofErr w:type="spellEnd"/>
      <w:r>
        <w:t xml:space="preserve"> del segmento y el centroide de un léxico restaurativo construido a partir de los documentos JEP de reconocimiento de responsabilidad (autos de resoluciones de conclusiones y actas de audiencias).</w:t>
      </w:r>
    </w:p>
    <w:p w14:paraId="161322A6" w14:textId="77777777" w:rsidR="00D15BF7" w:rsidRDefault="00000000">
      <w:pPr>
        <w:pStyle w:val="Prrafodelista"/>
        <w:numPr>
          <w:ilvl w:val="0"/>
          <w:numId w:val="2"/>
        </w:numPr>
        <w:spacing w:after="120"/>
        <w:jc w:val="both"/>
      </w:pPr>
      <w:r>
        <w:t xml:space="preserve">y₁₂ — Features acústicas (solo Corpus C): vector de 88 features </w:t>
      </w:r>
      <w:proofErr w:type="spellStart"/>
      <w:r>
        <w:t>eGeMAPS</w:t>
      </w:r>
      <w:proofErr w:type="spellEnd"/>
      <w:r>
        <w:t xml:space="preserve"> extraídas mediante </w:t>
      </w:r>
      <w:proofErr w:type="spellStart"/>
      <w:r>
        <w:t>OpenSMILE</w:t>
      </w:r>
      <w:proofErr w:type="spellEnd"/>
      <w:r>
        <w:t xml:space="preserve"> del segmento de audio correspondiente, reducido a un escalar mediante PCA. Captura marcadores prosódicos de tensión emocional, arrepentimiento y autenticidad en las declaraciones orales.</w:t>
      </w:r>
    </w:p>
    <w:p w14:paraId="7724FD23" w14:textId="77777777" w:rsidR="00D15BF7" w:rsidRDefault="00D15BF7">
      <w:pPr>
        <w:spacing w:after="120"/>
      </w:pPr>
    </w:p>
    <w:p w14:paraId="611028D1" w14:textId="77777777" w:rsidR="00D15BF7" w:rsidRDefault="00000000">
      <w:pPr>
        <w:pStyle w:val="Ttulo3"/>
      </w:pPr>
      <w:r>
        <w:t>4.5.3 Estimación del modelo SEM</w:t>
      </w:r>
    </w:p>
    <w:p w14:paraId="43FAB291" w14:textId="77777777" w:rsidR="00D15BF7" w:rsidRDefault="00000000">
      <w:pPr>
        <w:spacing w:after="200" w:line="360" w:lineRule="auto"/>
        <w:ind w:firstLine="720"/>
        <w:jc w:val="both"/>
      </w:pPr>
      <w:r>
        <w:rPr>
          <w:color w:val="000000"/>
        </w:rPr>
        <w:lastRenderedPageBreak/>
        <w:t xml:space="preserve">El modelo SEM se estima mediante la biblioteca </w:t>
      </w:r>
      <w:proofErr w:type="spellStart"/>
      <w:r>
        <w:rPr>
          <w:color w:val="000000"/>
        </w:rPr>
        <w:t>semopy</w:t>
      </w:r>
      <w:proofErr w:type="spellEnd"/>
      <w:r>
        <w:rPr>
          <w:color w:val="000000"/>
        </w:rPr>
        <w:t xml:space="preserve"> (</w:t>
      </w:r>
      <w:proofErr w:type="spellStart"/>
      <w:r>
        <w:rPr>
          <w:color w:val="000000"/>
        </w:rPr>
        <w:t>Igolkina</w:t>
      </w:r>
      <w:proofErr w:type="spellEnd"/>
      <w:r>
        <w:rPr>
          <w:color w:val="000000"/>
        </w:rPr>
        <w:t xml:space="preserve"> y </w:t>
      </w:r>
      <w:proofErr w:type="spellStart"/>
      <w:r>
        <w:rPr>
          <w:color w:val="000000"/>
        </w:rPr>
        <w:t>Meshcheryakov</w:t>
      </w:r>
      <w:proofErr w:type="spellEnd"/>
      <w:r>
        <w:rPr>
          <w:color w:val="000000"/>
        </w:rPr>
        <w:t>, 2020) en Python 3.11, utilizando el estimador de Máxima Verosimilitud (ML) sobre la matriz de covarianzas de los once indicadores. El ajuste del modelo se evalúa mediante los índices estándar:</w:t>
      </w:r>
    </w:p>
    <w:p w14:paraId="03A139F3" w14:textId="77777777" w:rsidR="00D15BF7" w:rsidRDefault="00000000">
      <w:pPr>
        <w:pStyle w:val="Prrafodelista"/>
        <w:numPr>
          <w:ilvl w:val="0"/>
          <w:numId w:val="2"/>
        </w:numPr>
        <w:spacing w:after="120"/>
        <w:jc w:val="both"/>
      </w:pPr>
      <w:r>
        <w:t xml:space="preserve">CFI (Comparative </w:t>
      </w:r>
      <w:proofErr w:type="spellStart"/>
      <w:r>
        <w:t>Fit</w:t>
      </w:r>
      <w:proofErr w:type="spellEnd"/>
      <w:r>
        <w:t xml:space="preserve"> Index) ≥ 0.95</w:t>
      </w:r>
    </w:p>
    <w:p w14:paraId="5B38C783" w14:textId="77777777" w:rsidR="00D15BF7" w:rsidRPr="006F0438" w:rsidRDefault="00000000">
      <w:pPr>
        <w:pStyle w:val="Prrafodelista"/>
        <w:numPr>
          <w:ilvl w:val="0"/>
          <w:numId w:val="2"/>
        </w:numPr>
        <w:spacing w:after="120"/>
        <w:jc w:val="both"/>
        <w:rPr>
          <w:lang w:val="en-US"/>
        </w:rPr>
      </w:pPr>
      <w:r w:rsidRPr="006F0438">
        <w:rPr>
          <w:lang w:val="en-US"/>
        </w:rPr>
        <w:t>RMSEA (Root Mean Square Error of Approximation) ≤ 0.06</w:t>
      </w:r>
    </w:p>
    <w:p w14:paraId="2C4ADB2F" w14:textId="77777777" w:rsidR="00D15BF7" w:rsidRPr="006F0438" w:rsidRDefault="00000000">
      <w:pPr>
        <w:pStyle w:val="Prrafodelista"/>
        <w:numPr>
          <w:ilvl w:val="0"/>
          <w:numId w:val="2"/>
        </w:numPr>
        <w:spacing w:after="120"/>
        <w:jc w:val="both"/>
        <w:rPr>
          <w:lang w:val="en-US"/>
        </w:rPr>
      </w:pPr>
      <w:r w:rsidRPr="006F0438">
        <w:rPr>
          <w:lang w:val="en-US"/>
        </w:rPr>
        <w:t>SRMR (Standardized Root Mean Square Residual) ≤ 0.08</w:t>
      </w:r>
    </w:p>
    <w:p w14:paraId="4EC777CF" w14:textId="77777777" w:rsidR="00D15BF7" w:rsidRDefault="00000000">
      <w:pPr>
        <w:pStyle w:val="Prrafodelista"/>
        <w:numPr>
          <w:ilvl w:val="0"/>
          <w:numId w:val="2"/>
        </w:numPr>
        <w:spacing w:after="120"/>
        <w:jc w:val="both"/>
      </w:pPr>
      <w:r>
        <w:t>χ²/</w:t>
      </w:r>
      <w:proofErr w:type="spellStart"/>
      <w:r>
        <w:t>gl</w:t>
      </w:r>
      <w:proofErr w:type="spellEnd"/>
      <w:r>
        <w:t xml:space="preserve"> ≤ 3.0</w:t>
      </w:r>
    </w:p>
    <w:p w14:paraId="554C22F4" w14:textId="77777777" w:rsidR="00D15BF7" w:rsidRDefault="00D15BF7">
      <w:pPr>
        <w:spacing w:after="120"/>
      </w:pPr>
    </w:p>
    <w:p w14:paraId="64E5D3EA" w14:textId="77777777" w:rsidR="00D15BF7" w:rsidRDefault="00000000">
      <w:pPr>
        <w:spacing w:after="200" w:line="360" w:lineRule="auto"/>
        <w:ind w:firstLine="720"/>
        <w:jc w:val="both"/>
      </w:pPr>
      <w:r>
        <w:rPr>
          <w:color w:val="000000"/>
        </w:rPr>
        <w:t xml:space="preserve">La significancia del coeficiente β₂₃ (η₁ → η₂) se evalúa mediante </w:t>
      </w:r>
      <w:proofErr w:type="spellStart"/>
      <w:r>
        <w:rPr>
          <w:color w:val="000000"/>
        </w:rPr>
        <w:t>bootstrap</w:t>
      </w:r>
      <w:proofErr w:type="spellEnd"/>
      <w:r>
        <w:rPr>
          <w:color w:val="000000"/>
        </w:rPr>
        <w:t xml:space="preserve"> no paramétrico con 10.000 </w:t>
      </w:r>
      <w:proofErr w:type="spellStart"/>
      <w:r>
        <w:rPr>
          <w:color w:val="000000"/>
        </w:rPr>
        <w:t>remuestras</w:t>
      </w:r>
      <w:proofErr w:type="spellEnd"/>
      <w:r>
        <w:rPr>
          <w:color w:val="000000"/>
        </w:rPr>
        <w:t xml:space="preserve">, reportando intervalos de confianza al 95% y el p-valor asociado. El análisis </w:t>
      </w:r>
      <w:proofErr w:type="spellStart"/>
      <w:r>
        <w:rPr>
          <w:color w:val="000000"/>
        </w:rPr>
        <w:t>multi-grupo</w:t>
      </w:r>
      <w:proofErr w:type="spellEnd"/>
      <w:r>
        <w:rPr>
          <w:color w:val="000000"/>
        </w:rPr>
        <w:t xml:space="preserve"> (MG-SEM) evalúa la invarianza de medición entre los tres subsistemas de justicia mediante la comparación de modelos anidados: invarianza </w:t>
      </w:r>
      <w:proofErr w:type="spellStart"/>
      <w:r>
        <w:rPr>
          <w:color w:val="000000"/>
        </w:rPr>
        <w:t>configural</w:t>
      </w:r>
      <w:proofErr w:type="spellEnd"/>
      <w:r>
        <w:rPr>
          <w:color w:val="000000"/>
        </w:rPr>
        <w:t>, métrica y escalar.</w:t>
      </w:r>
    </w:p>
    <w:p w14:paraId="5FFF99B6" w14:textId="77777777" w:rsidR="00D15BF7" w:rsidRDefault="00D15BF7">
      <w:pPr>
        <w:spacing w:after="120"/>
      </w:pPr>
    </w:p>
    <w:p w14:paraId="6BB8D5EC" w14:textId="77777777" w:rsidR="00D15BF7" w:rsidRDefault="00000000">
      <w:pPr>
        <w:pStyle w:val="Ttulo2"/>
      </w:pPr>
      <w:r>
        <w:t>4.6 Protocolo de validación</w:t>
      </w:r>
    </w:p>
    <w:p w14:paraId="2CF3B3C6" w14:textId="77777777" w:rsidR="00D15BF7" w:rsidRDefault="00000000">
      <w:pPr>
        <w:pStyle w:val="Ttulo3"/>
      </w:pPr>
      <w:r>
        <w:t>4.6.1 Validez de contenido</w:t>
      </w:r>
    </w:p>
    <w:p w14:paraId="1C448248" w14:textId="77777777" w:rsidR="00D15BF7" w:rsidRDefault="00000000">
      <w:pPr>
        <w:spacing w:after="200" w:line="360" w:lineRule="auto"/>
        <w:ind w:firstLine="720"/>
        <w:jc w:val="both"/>
      </w:pPr>
      <w:r>
        <w:rPr>
          <w:color w:val="000000"/>
        </w:rPr>
        <w:t>La validez de contenido de la Taxonomía CFH se asegura mediante tres procedimientos. Primero, la revisión experta del protocolo de anotación por el director de tesis y por investigadores del campo del análisis crítico del discurso y los derechos humanos. Segundo, la calibración de los anotadores mediante una sesión de práctica con 20 fragmentos de ejemplo antes del inicio de la anotación ciega. Tercero, la inclusión en el protocolo de reglas explícitas de desambiguación para los cinco casos difíciles más frecuentes, derivadas del análisis piloto del corpus.</w:t>
      </w:r>
    </w:p>
    <w:p w14:paraId="0B46C559" w14:textId="77777777" w:rsidR="00D15BF7" w:rsidRDefault="00000000">
      <w:pPr>
        <w:pStyle w:val="Ttulo3"/>
      </w:pPr>
      <w:r>
        <w:t>4.6.2 Validez de constructo</w:t>
      </w:r>
    </w:p>
    <w:p w14:paraId="350D9BDC" w14:textId="77777777" w:rsidR="00D15BF7" w:rsidRDefault="00000000">
      <w:pPr>
        <w:spacing w:after="200" w:line="360" w:lineRule="auto"/>
        <w:ind w:firstLine="720"/>
        <w:jc w:val="both"/>
      </w:pPr>
      <w:r>
        <w:rPr>
          <w:color w:val="000000"/>
        </w:rPr>
        <w:lastRenderedPageBreak/>
        <w:t xml:space="preserve">La validez de constructo del modelo SEM se evalúa mediante tres pruebas. La validez convergente se verifica si los indicadores de cada variable latente presentan cargas factoriales (λ) ≥ 0.70 y </w:t>
      </w:r>
      <w:proofErr w:type="spellStart"/>
      <w:r>
        <w:rPr>
          <w:color w:val="000000"/>
        </w:rPr>
        <w:t>Average</w:t>
      </w:r>
      <w:proofErr w:type="spellEnd"/>
      <w:r>
        <w:rPr>
          <w:color w:val="000000"/>
        </w:rPr>
        <w:t xml:space="preserve"> </w:t>
      </w:r>
      <w:proofErr w:type="spellStart"/>
      <w:r>
        <w:rPr>
          <w:color w:val="000000"/>
        </w:rPr>
        <w:t>Variance</w:t>
      </w:r>
      <w:proofErr w:type="spellEnd"/>
      <w:r>
        <w:rPr>
          <w:color w:val="000000"/>
        </w:rPr>
        <w:t xml:space="preserve"> </w:t>
      </w:r>
      <w:proofErr w:type="spellStart"/>
      <w:r>
        <w:rPr>
          <w:color w:val="000000"/>
        </w:rPr>
        <w:t>Extracted</w:t>
      </w:r>
      <w:proofErr w:type="spellEnd"/>
      <w:r>
        <w:rPr>
          <w:color w:val="000000"/>
        </w:rPr>
        <w:t xml:space="preserve"> (AVE) ≥ 0.50. La validez discriminante se verifica si el AVE de cada constructo supera el cuadrado de la correlación entre constructos. La validez nomológica se verifica si las relaciones entre constructos son coherentes con las predicciones del marco teórico Fraser-Galtung.</w:t>
      </w:r>
    </w:p>
    <w:p w14:paraId="6621070F" w14:textId="77777777" w:rsidR="00D15BF7" w:rsidRDefault="00000000">
      <w:pPr>
        <w:pStyle w:val="Ttulo3"/>
      </w:pPr>
      <w:r>
        <w:t>4.6.3 Validez externa</w:t>
      </w:r>
    </w:p>
    <w:p w14:paraId="1C18B6DF" w14:textId="77777777" w:rsidR="00D15BF7" w:rsidRDefault="00000000">
      <w:pPr>
        <w:spacing w:after="200" w:line="360" w:lineRule="auto"/>
        <w:ind w:firstLine="720"/>
        <w:jc w:val="both"/>
      </w:pPr>
      <w:r>
        <w:rPr>
          <w:color w:val="000000"/>
        </w:rPr>
        <w:t xml:space="preserve">La validez externa se evalúa mediante la comparación de los DIS Scores calculados para un subconjunto de casos (n = 20) con evaluaciones cualitativas independientes realizadas por investigadores especialistas en derechos humanos y análisis del discurso. La concordancia entre las puntuaciones computacionales y las evaluaciones cualitativas se mide mediante la correlación de Spearman, con un umbral mínimo de </w:t>
      </w:r>
      <w:proofErr w:type="spellStart"/>
      <w:r>
        <w:rPr>
          <w:color w:val="000000"/>
        </w:rPr>
        <w:t>r_s</w:t>
      </w:r>
      <w:proofErr w:type="spellEnd"/>
      <w:r>
        <w:rPr>
          <w:color w:val="000000"/>
        </w:rPr>
        <w:t xml:space="preserve"> ≥ 0.70.</w:t>
      </w:r>
    </w:p>
    <w:p w14:paraId="7B2C5C7B" w14:textId="77777777" w:rsidR="00D15BF7" w:rsidRDefault="00D15BF7">
      <w:pPr>
        <w:spacing w:after="120"/>
      </w:pPr>
    </w:p>
    <w:p w14:paraId="6FE4C1DB" w14:textId="77777777" w:rsidR="00D15BF7" w:rsidRDefault="00000000">
      <w:pPr>
        <w:spacing w:before="480" w:after="200"/>
      </w:pPr>
      <w:r>
        <w:rPr>
          <w:b/>
          <w:bCs/>
          <w:color w:val="000000"/>
          <w:sz w:val="22"/>
          <w:szCs w:val="22"/>
        </w:rPr>
        <w:t>Referencias del capítulo</w:t>
      </w:r>
    </w:p>
    <w:p w14:paraId="35EDF368" w14:textId="77777777" w:rsidR="00D15BF7" w:rsidRPr="006F0438" w:rsidRDefault="00000000">
      <w:pPr>
        <w:spacing w:after="120"/>
        <w:ind w:left="720" w:hanging="720"/>
        <w:jc w:val="both"/>
        <w:rPr>
          <w:lang w:val="en-US"/>
        </w:rPr>
      </w:pPr>
      <w:r>
        <w:rPr>
          <w:color w:val="000000"/>
          <w:sz w:val="20"/>
          <w:szCs w:val="20"/>
        </w:rPr>
        <w:t xml:space="preserve">Cañete, J., </w:t>
      </w:r>
      <w:proofErr w:type="spellStart"/>
      <w:r>
        <w:rPr>
          <w:color w:val="000000"/>
          <w:sz w:val="20"/>
          <w:szCs w:val="20"/>
        </w:rPr>
        <w:t>Chaperon</w:t>
      </w:r>
      <w:proofErr w:type="spellEnd"/>
      <w:r>
        <w:rPr>
          <w:color w:val="000000"/>
          <w:sz w:val="20"/>
          <w:szCs w:val="20"/>
        </w:rPr>
        <w:t xml:space="preserve">, G., Fuentes, R., Ho, J.-H., Kang, H., y Pérez, J. (2020). </w:t>
      </w:r>
      <w:r w:rsidRPr="006F0438">
        <w:rPr>
          <w:color w:val="000000"/>
          <w:sz w:val="20"/>
          <w:szCs w:val="20"/>
          <w:lang w:val="en-US"/>
        </w:rPr>
        <w:t>Spanish pre-trained BERT model and evaluation data. ICLR 2020 Workshop on Multilingual Representations for NLP.</w:t>
      </w:r>
    </w:p>
    <w:p w14:paraId="049FB893" w14:textId="77777777" w:rsidR="00D15BF7" w:rsidRPr="006F0438" w:rsidRDefault="00000000">
      <w:pPr>
        <w:spacing w:after="120"/>
        <w:ind w:left="720" w:hanging="720"/>
        <w:jc w:val="both"/>
        <w:rPr>
          <w:lang w:val="en-US"/>
        </w:rPr>
      </w:pPr>
      <w:r w:rsidRPr="006F0438">
        <w:rPr>
          <w:color w:val="000000"/>
          <w:sz w:val="20"/>
          <w:szCs w:val="20"/>
          <w:lang w:val="en-US"/>
        </w:rPr>
        <w:t>Igolkina, A. A. y Meshcheryakov, G. (2020). semopy: A Python package for Structural Equation Models. arXiv:2003.05838.</w:t>
      </w:r>
    </w:p>
    <w:p w14:paraId="7E788011" w14:textId="77777777" w:rsidR="00D15BF7" w:rsidRPr="006F0438" w:rsidRDefault="00000000">
      <w:pPr>
        <w:spacing w:after="120"/>
        <w:ind w:left="720" w:hanging="720"/>
        <w:jc w:val="both"/>
        <w:rPr>
          <w:lang w:val="en-US"/>
        </w:rPr>
      </w:pPr>
      <w:r w:rsidRPr="006F0438">
        <w:rPr>
          <w:color w:val="000000"/>
          <w:sz w:val="20"/>
          <w:szCs w:val="20"/>
          <w:lang w:val="en-US"/>
        </w:rPr>
        <w:t>Kline, R. B. (2023). Principles and Practice of Structural Equation Modeling (5.ª ed.). Guilford Press.</w:t>
      </w:r>
    </w:p>
    <w:p w14:paraId="6FD613DE" w14:textId="77777777" w:rsidR="00D15BF7" w:rsidRPr="006F0438" w:rsidRDefault="00000000">
      <w:pPr>
        <w:spacing w:after="120"/>
        <w:ind w:left="720" w:hanging="720"/>
        <w:jc w:val="both"/>
        <w:rPr>
          <w:lang w:val="en-US"/>
        </w:rPr>
      </w:pPr>
      <w:r w:rsidRPr="006F0438">
        <w:rPr>
          <w:color w:val="000000"/>
          <w:sz w:val="20"/>
          <w:szCs w:val="20"/>
          <w:lang w:val="en-US"/>
        </w:rPr>
        <w:t>Landis, J. R. y Koch, G. G. (1977). The measurement of observer agreement for categorical data. Biometrics, 33(1), 159–174.</w:t>
      </w:r>
    </w:p>
    <w:p w14:paraId="02C52A0E" w14:textId="77777777" w:rsidR="00D15BF7" w:rsidRPr="006F0438" w:rsidRDefault="00000000">
      <w:pPr>
        <w:spacing w:after="120"/>
        <w:ind w:left="720" w:hanging="720"/>
        <w:jc w:val="both"/>
        <w:rPr>
          <w:lang w:val="en-US"/>
        </w:rPr>
      </w:pPr>
      <w:r w:rsidRPr="006F0438">
        <w:rPr>
          <w:color w:val="000000"/>
          <w:sz w:val="20"/>
          <w:szCs w:val="20"/>
          <w:lang w:val="en-US"/>
        </w:rPr>
        <w:t>OpenAI. (2022). Whisper: Robust Speech Recognition via Large-Scale Weak Supervision. arXiv:2212.04356.</w:t>
      </w:r>
    </w:p>
    <w:p w14:paraId="60EB1F0B" w14:textId="77777777" w:rsidR="00D15BF7" w:rsidRPr="006F0438" w:rsidRDefault="00000000">
      <w:pPr>
        <w:spacing w:after="120"/>
        <w:ind w:left="720" w:hanging="720"/>
        <w:jc w:val="both"/>
        <w:rPr>
          <w:lang w:val="en-US"/>
        </w:rPr>
      </w:pPr>
      <w:r w:rsidRPr="006F0438">
        <w:rPr>
          <w:color w:val="000000"/>
          <w:sz w:val="20"/>
          <w:szCs w:val="20"/>
          <w:lang w:val="en-US"/>
        </w:rPr>
        <w:t>Radford, A., Kim, J. W., Xu, T., Brockman, G., McLeavey, C., y Sutskever, I. (2022). Robust speech recognition via large-scale weak supervision. Proceedings of ICML 2023.</w:t>
      </w:r>
    </w:p>
    <w:p w14:paraId="3712DF89" w14:textId="77777777" w:rsidR="00D15BF7" w:rsidRPr="006F0438" w:rsidRDefault="00000000">
      <w:pPr>
        <w:spacing w:after="120"/>
        <w:ind w:left="720" w:hanging="720"/>
        <w:jc w:val="both"/>
        <w:rPr>
          <w:lang w:val="en-US"/>
        </w:rPr>
      </w:pPr>
      <w:r w:rsidRPr="006F0438">
        <w:rPr>
          <w:color w:val="000000"/>
          <w:sz w:val="20"/>
          <w:szCs w:val="20"/>
          <w:lang w:val="en-US"/>
        </w:rPr>
        <w:t>Schuller, B., Steidl, S., y Batliner, A. (2013). The INTERSPEECH 2013 Computational Paralinguistics Challenge. Proceedings of Interspeech 2013, 148–152. [OpenSMILE / eGeMAPS]</w:t>
      </w:r>
    </w:p>
    <w:p w14:paraId="6A1662E2" w14:textId="77777777" w:rsidR="00D15BF7" w:rsidRPr="006F0438" w:rsidRDefault="00000000">
      <w:pPr>
        <w:spacing w:after="120"/>
        <w:ind w:left="720" w:hanging="720"/>
        <w:jc w:val="both"/>
        <w:rPr>
          <w:lang w:val="en-US"/>
        </w:rPr>
      </w:pPr>
      <w:r w:rsidRPr="006F0438">
        <w:rPr>
          <w:color w:val="000000"/>
          <w:sz w:val="20"/>
          <w:szCs w:val="20"/>
          <w:lang w:val="en-US"/>
        </w:rPr>
        <w:lastRenderedPageBreak/>
        <w:t>Smith, R. (2007). An Overview of the Tesseract OCR Engine. Proceedings of the Ninth International Conference on Document Analysis and Recognition, 629–633.</w:t>
      </w:r>
    </w:p>
    <w:p w14:paraId="77DC6951" w14:textId="77777777" w:rsidR="00D15BF7" w:rsidRPr="006F0438" w:rsidRDefault="00000000">
      <w:pPr>
        <w:spacing w:after="120"/>
        <w:ind w:left="720" w:hanging="720"/>
        <w:jc w:val="both"/>
        <w:rPr>
          <w:lang w:val="en-US"/>
        </w:rPr>
      </w:pPr>
      <w:r>
        <w:rPr>
          <w:color w:val="000000"/>
          <w:sz w:val="20"/>
          <w:szCs w:val="20"/>
        </w:rPr>
        <w:t xml:space="preserve">Yang, W., </w:t>
      </w:r>
      <w:proofErr w:type="spellStart"/>
      <w:r>
        <w:rPr>
          <w:color w:val="000000"/>
          <w:sz w:val="20"/>
          <w:szCs w:val="20"/>
        </w:rPr>
        <w:t>Alsarra</w:t>
      </w:r>
      <w:proofErr w:type="spellEnd"/>
      <w:r>
        <w:rPr>
          <w:color w:val="000000"/>
          <w:sz w:val="20"/>
          <w:szCs w:val="20"/>
        </w:rPr>
        <w:t xml:space="preserve">, S., </w:t>
      </w:r>
      <w:proofErr w:type="spellStart"/>
      <w:r>
        <w:rPr>
          <w:color w:val="000000"/>
          <w:sz w:val="20"/>
          <w:szCs w:val="20"/>
        </w:rPr>
        <w:t>Abdeljaber</w:t>
      </w:r>
      <w:proofErr w:type="spellEnd"/>
      <w:r>
        <w:rPr>
          <w:color w:val="000000"/>
          <w:sz w:val="20"/>
          <w:szCs w:val="20"/>
        </w:rPr>
        <w:t xml:space="preserve">, L., </w:t>
      </w:r>
      <w:proofErr w:type="spellStart"/>
      <w:r>
        <w:rPr>
          <w:color w:val="000000"/>
          <w:sz w:val="20"/>
          <w:szCs w:val="20"/>
        </w:rPr>
        <w:t>Zawad</w:t>
      </w:r>
      <w:proofErr w:type="spellEnd"/>
      <w:r>
        <w:rPr>
          <w:color w:val="000000"/>
          <w:sz w:val="20"/>
          <w:szCs w:val="20"/>
        </w:rPr>
        <w:t xml:space="preserve">, N., </w:t>
      </w:r>
      <w:proofErr w:type="spellStart"/>
      <w:r>
        <w:rPr>
          <w:color w:val="000000"/>
          <w:sz w:val="20"/>
          <w:szCs w:val="20"/>
        </w:rPr>
        <w:t>Delaram</w:t>
      </w:r>
      <w:proofErr w:type="spellEnd"/>
      <w:r>
        <w:rPr>
          <w:color w:val="000000"/>
          <w:sz w:val="20"/>
          <w:szCs w:val="20"/>
        </w:rPr>
        <w:t xml:space="preserve">, Z., Osorio, J., Khan, L., Brandt, P., y </w:t>
      </w:r>
      <w:proofErr w:type="spellStart"/>
      <w:r>
        <w:rPr>
          <w:color w:val="000000"/>
          <w:sz w:val="20"/>
          <w:szCs w:val="20"/>
        </w:rPr>
        <w:t>D'Orazio</w:t>
      </w:r>
      <w:proofErr w:type="spellEnd"/>
      <w:r>
        <w:rPr>
          <w:color w:val="000000"/>
          <w:sz w:val="20"/>
          <w:szCs w:val="20"/>
        </w:rPr>
        <w:t xml:space="preserve">, V. (2023). </w:t>
      </w:r>
      <w:r w:rsidRPr="006F0438">
        <w:rPr>
          <w:color w:val="000000"/>
          <w:sz w:val="20"/>
          <w:szCs w:val="20"/>
          <w:lang w:val="en-US"/>
        </w:rPr>
        <w:t>ConfliBERT-Spanish: A Pre-trained Spanish Language Model for Political Conflict and Violence. 2023 7th IEEE Congress on Information Science and Technology (CiSt), pp. 287–292.</w:t>
      </w:r>
    </w:p>
    <w:sectPr w:rsidR="00D15BF7" w:rsidRPr="006F0438">
      <w:headerReference w:type="default" r:id="rId7"/>
      <w:footerReference w:type="default" r:id="rId8"/>
      <w:pgSz w:w="11906" w:h="16838"/>
      <w:pgMar w:top="2268" w:right="1701" w:bottom="2268"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2820F3" w14:textId="77777777" w:rsidR="00304796" w:rsidRDefault="00304796">
      <w:r>
        <w:separator/>
      </w:r>
    </w:p>
  </w:endnote>
  <w:endnote w:type="continuationSeparator" w:id="0">
    <w:p w14:paraId="0335B8CE" w14:textId="77777777" w:rsidR="00304796" w:rsidRDefault="003047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B3232" w14:textId="77777777" w:rsidR="00D15BF7" w:rsidRDefault="00000000">
    <w:pPr>
      <w:jc w:val="center"/>
    </w:pPr>
    <w:r>
      <w:fldChar w:fldCharType="begin"/>
    </w:r>
    <w:r>
      <w:instrText>PAGE</w:instrText>
    </w:r>
    <w:r>
      <w:fldChar w:fldCharType="separate"/>
    </w:r>
    <w:r w:rsidR="006F043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D2461" w14:textId="77777777" w:rsidR="00304796" w:rsidRDefault="00304796">
      <w:r>
        <w:separator/>
      </w:r>
    </w:p>
  </w:footnote>
  <w:footnote w:type="continuationSeparator" w:id="0">
    <w:p w14:paraId="6D468EBA" w14:textId="77777777" w:rsidR="00304796" w:rsidRDefault="003047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4FD86" w14:textId="77777777" w:rsidR="00D15BF7" w:rsidRDefault="00000000">
    <w:pPr>
      <w:jc w:val="right"/>
    </w:pPr>
    <w:r>
      <w:rPr>
        <w:i/>
        <w:iCs/>
        <w:color w:val="595959"/>
        <w:sz w:val="20"/>
        <w:szCs w:val="20"/>
      </w:rPr>
      <w:t>El lenguaje de los falsos positivos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400C4"/>
    <w:multiLevelType w:val="hybridMultilevel"/>
    <w:tmpl w:val="3C109C8C"/>
    <w:lvl w:ilvl="0" w:tplc="2C92368A">
      <w:start w:val="1"/>
      <w:numFmt w:val="bullet"/>
      <w:lvlText w:val="•"/>
      <w:lvlJc w:val="left"/>
      <w:pPr>
        <w:ind w:left="720" w:hanging="360"/>
      </w:pPr>
    </w:lvl>
    <w:lvl w:ilvl="1" w:tplc="CDF00A06">
      <w:numFmt w:val="decimal"/>
      <w:lvlText w:val=""/>
      <w:lvlJc w:val="left"/>
    </w:lvl>
    <w:lvl w:ilvl="2" w:tplc="E2B01892">
      <w:numFmt w:val="decimal"/>
      <w:lvlText w:val=""/>
      <w:lvlJc w:val="left"/>
    </w:lvl>
    <w:lvl w:ilvl="3" w:tplc="1220BEA2">
      <w:numFmt w:val="decimal"/>
      <w:lvlText w:val=""/>
      <w:lvlJc w:val="left"/>
    </w:lvl>
    <w:lvl w:ilvl="4" w:tplc="E57077A8">
      <w:numFmt w:val="decimal"/>
      <w:lvlText w:val=""/>
      <w:lvlJc w:val="left"/>
    </w:lvl>
    <w:lvl w:ilvl="5" w:tplc="05A285D8">
      <w:numFmt w:val="decimal"/>
      <w:lvlText w:val=""/>
      <w:lvlJc w:val="left"/>
    </w:lvl>
    <w:lvl w:ilvl="6" w:tplc="4EA227A4">
      <w:numFmt w:val="decimal"/>
      <w:lvlText w:val=""/>
      <w:lvlJc w:val="left"/>
    </w:lvl>
    <w:lvl w:ilvl="7" w:tplc="108043C6">
      <w:numFmt w:val="decimal"/>
      <w:lvlText w:val=""/>
      <w:lvlJc w:val="left"/>
    </w:lvl>
    <w:lvl w:ilvl="8" w:tplc="69242B66">
      <w:numFmt w:val="decimal"/>
      <w:lvlText w:val=""/>
      <w:lvlJc w:val="left"/>
    </w:lvl>
  </w:abstractNum>
  <w:abstractNum w:abstractNumId="1" w15:restartNumberingAfterBreak="0">
    <w:nsid w:val="39023370"/>
    <w:multiLevelType w:val="hybridMultilevel"/>
    <w:tmpl w:val="2658411A"/>
    <w:lvl w:ilvl="0" w:tplc="E222CF68">
      <w:start w:val="1"/>
      <w:numFmt w:val="bullet"/>
      <w:lvlText w:val="●"/>
      <w:lvlJc w:val="left"/>
      <w:pPr>
        <w:ind w:left="720" w:hanging="360"/>
      </w:pPr>
    </w:lvl>
    <w:lvl w:ilvl="1" w:tplc="779C269A">
      <w:start w:val="1"/>
      <w:numFmt w:val="bullet"/>
      <w:lvlText w:val="○"/>
      <w:lvlJc w:val="left"/>
      <w:pPr>
        <w:ind w:left="1440" w:hanging="360"/>
      </w:pPr>
    </w:lvl>
    <w:lvl w:ilvl="2" w:tplc="36A60FE0">
      <w:start w:val="1"/>
      <w:numFmt w:val="bullet"/>
      <w:lvlText w:val="■"/>
      <w:lvlJc w:val="left"/>
      <w:pPr>
        <w:ind w:left="2160" w:hanging="360"/>
      </w:pPr>
    </w:lvl>
    <w:lvl w:ilvl="3" w:tplc="40BCC09C">
      <w:start w:val="1"/>
      <w:numFmt w:val="bullet"/>
      <w:lvlText w:val="●"/>
      <w:lvlJc w:val="left"/>
      <w:pPr>
        <w:ind w:left="2880" w:hanging="360"/>
      </w:pPr>
    </w:lvl>
    <w:lvl w:ilvl="4" w:tplc="C302C3A0">
      <w:start w:val="1"/>
      <w:numFmt w:val="bullet"/>
      <w:lvlText w:val="○"/>
      <w:lvlJc w:val="left"/>
      <w:pPr>
        <w:ind w:left="3600" w:hanging="360"/>
      </w:pPr>
    </w:lvl>
    <w:lvl w:ilvl="5" w:tplc="574C6EDC">
      <w:start w:val="1"/>
      <w:numFmt w:val="bullet"/>
      <w:lvlText w:val="■"/>
      <w:lvlJc w:val="left"/>
      <w:pPr>
        <w:ind w:left="4320" w:hanging="360"/>
      </w:pPr>
    </w:lvl>
    <w:lvl w:ilvl="6" w:tplc="76C6233C">
      <w:start w:val="1"/>
      <w:numFmt w:val="bullet"/>
      <w:lvlText w:val="●"/>
      <w:lvlJc w:val="left"/>
      <w:pPr>
        <w:ind w:left="5040" w:hanging="360"/>
      </w:pPr>
    </w:lvl>
    <w:lvl w:ilvl="7" w:tplc="2F16A974">
      <w:start w:val="1"/>
      <w:numFmt w:val="bullet"/>
      <w:lvlText w:val="●"/>
      <w:lvlJc w:val="left"/>
      <w:pPr>
        <w:ind w:left="5760" w:hanging="360"/>
      </w:pPr>
    </w:lvl>
    <w:lvl w:ilvl="8" w:tplc="3076AC90">
      <w:start w:val="1"/>
      <w:numFmt w:val="bullet"/>
      <w:lvlText w:val="●"/>
      <w:lvlJc w:val="left"/>
      <w:pPr>
        <w:ind w:left="6480" w:hanging="360"/>
      </w:pPr>
    </w:lvl>
  </w:abstractNum>
  <w:abstractNum w:abstractNumId="2" w15:restartNumberingAfterBreak="0">
    <w:nsid w:val="76B67C8D"/>
    <w:multiLevelType w:val="hybridMultilevel"/>
    <w:tmpl w:val="F69AF6D2"/>
    <w:lvl w:ilvl="0" w:tplc="8C0EA098">
      <w:start w:val="1"/>
      <w:numFmt w:val="decimal"/>
      <w:lvlText w:val="%1."/>
      <w:lvlJc w:val="left"/>
      <w:pPr>
        <w:ind w:left="720" w:hanging="360"/>
      </w:pPr>
    </w:lvl>
    <w:lvl w:ilvl="1" w:tplc="68B2DD5C">
      <w:numFmt w:val="decimal"/>
      <w:lvlText w:val=""/>
      <w:lvlJc w:val="left"/>
    </w:lvl>
    <w:lvl w:ilvl="2" w:tplc="CAB288F4">
      <w:numFmt w:val="decimal"/>
      <w:lvlText w:val=""/>
      <w:lvlJc w:val="left"/>
    </w:lvl>
    <w:lvl w:ilvl="3" w:tplc="755003D0">
      <w:numFmt w:val="decimal"/>
      <w:lvlText w:val=""/>
      <w:lvlJc w:val="left"/>
    </w:lvl>
    <w:lvl w:ilvl="4" w:tplc="7AFEFB30">
      <w:numFmt w:val="decimal"/>
      <w:lvlText w:val=""/>
      <w:lvlJc w:val="left"/>
    </w:lvl>
    <w:lvl w:ilvl="5" w:tplc="29B46178">
      <w:numFmt w:val="decimal"/>
      <w:lvlText w:val=""/>
      <w:lvlJc w:val="left"/>
    </w:lvl>
    <w:lvl w:ilvl="6" w:tplc="997A6D10">
      <w:numFmt w:val="decimal"/>
      <w:lvlText w:val=""/>
      <w:lvlJc w:val="left"/>
    </w:lvl>
    <w:lvl w:ilvl="7" w:tplc="A1EA3E20">
      <w:numFmt w:val="decimal"/>
      <w:lvlText w:val=""/>
      <w:lvlJc w:val="left"/>
    </w:lvl>
    <w:lvl w:ilvl="8" w:tplc="CD40C912">
      <w:numFmt w:val="decimal"/>
      <w:lvlText w:val=""/>
      <w:lvlJc w:val="left"/>
    </w:lvl>
  </w:abstractNum>
  <w:num w:numId="1" w16cid:durableId="501817512">
    <w:abstractNumId w:val="1"/>
    <w:lvlOverride w:ilvl="0">
      <w:startOverride w:val="1"/>
    </w:lvlOverride>
  </w:num>
  <w:num w:numId="2" w16cid:durableId="3923136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BF7"/>
    <w:rsid w:val="00304796"/>
    <w:rsid w:val="006F0438"/>
    <w:rsid w:val="00D15BF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094F1"/>
  <w15:docId w15:val="{8E91B525-F726-4787-A6BB-05338697A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0D2137"/>
      <w:sz w:val="28"/>
      <w:szCs w:val="28"/>
    </w:rPr>
  </w:style>
  <w:style w:type="paragraph" w:styleId="Ttulo2">
    <w:name w:val="heading 2"/>
    <w:uiPriority w:val="9"/>
    <w:unhideWhenUsed/>
    <w:qFormat/>
    <w:pPr>
      <w:spacing w:before="360" w:after="180"/>
      <w:outlineLvl w:val="1"/>
    </w:pPr>
    <w:rPr>
      <w:b/>
      <w:bCs/>
      <w:color w:val="000000"/>
      <w:sz w:val="26"/>
      <w:szCs w:val="26"/>
    </w:rPr>
  </w:style>
  <w:style w:type="paragraph" w:styleId="Ttulo3">
    <w:name w:val="heading 3"/>
    <w:uiPriority w:val="9"/>
    <w:unhideWhenUsed/>
    <w:qFormat/>
    <w:pPr>
      <w:spacing w:before="280" w:after="140"/>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3622</Words>
  <Characters>19923</Characters>
  <Application>Microsoft Office Word</Application>
  <DocSecurity>0</DocSecurity>
  <Lines>166</Lines>
  <Paragraphs>46</Paragraphs>
  <ScaleCrop>false</ScaleCrop>
  <Company/>
  <LinksUpToDate>false</LinksUpToDate>
  <CharactersWithSpaces>23499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Mireya Camacho Celis</cp:lastModifiedBy>
  <cp:revision>2</cp:revision>
  <dcterms:created xsi:type="dcterms:W3CDTF">2026-04-06T01:41:00Z</dcterms:created>
  <dcterms:modified xsi:type="dcterms:W3CDTF">2026-04-06T01:41:00Z</dcterms:modified>
</cp:coreProperties>
</file>