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Sen, S., Singh, G., y Varshney, P. (2024). Deception detection using machine learning: A systematic review and transfer learning limitations from low-stakes to high-stakes. Expert Systems with Applications, 213, 119048.
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40% Dabeiba, 93%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mayor congruencia multimodal entre canales.</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congruencia entre canales comunicativos. La versión implementada calcula ICM facial = distress_medio / (distress_medio + sonrisa_media), donde distress_medio = (AU1 + AU4 + AU15) / 3. Valores más altos indican mayor congruencia entre el reconocimiento verbal y la expresión facial de distress — alta congruencia multimodal. Valores más bajos indican dominancia de la sonrisa — baja congruencia multimodal.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ICM disponible con N=32 frames (MediaPipe FaceLandmarker).</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tiene ICM disponible con N=32 frames procesados con MediaPipe FaceLandmarker — cobertura notablemente menor que los demás subcasos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 El análisis de tamaño de efecto (Cohen's d, N_B=214) confirma la magnitud sustantiva de los hallazgos: y₁₀ REP muestra el efecto más grande (d=0.514, p&lt;0.001), el DIS sintético (d=0.335, p&lt;0.001) e y₂ SA (d=0.257, p=0.023) presentan efectos medianos según la escala de Cohen (1988). El único indicador no significativo es y₄ NV (d=0.324, p=0.354 n.s.), explicado por el metalenguaje citativo del Corpus B (§6.1.4).</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procesado con MediaPipe FaceLandmarker con N=32 frames disponibles — cobertura notablemente menor que los demás subcasos (40–93%); el análisis textual y de diarización sí fue completado (588 bloques). Una segunda limitación metodológica es la normalización por percentil del propio corpus: los indicadores y₂–y₄ e y₁₀ se normalizan usando los percentiles de la distribución interna del corpus A+B, lo que los hace dependientes del tamaño y composición del corpus y limita su comparabilidad estricta con corpus externos. Esta limitación afecta principalmente la comparación entre el corpus original y cualquier extensión futura del análisis, pero no invalida la comparación interna A vs B que es el objeto central de la investigación.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análisis complementario de Cohen's d (N_B=214) reporta efectos medianos para los indicadores principales (REP d=0.514, DIS d=0.335), lo que proporciona una medida de la magnitud práctica de los hallazgos independiente de los supuestos de independencia del Mann-Whitney U.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Sen, S., Singh, G., y Varshney, P. (2024). Deception detection using machine learning: A systematic review and transfer learning limitations from low-stakes to high-stakes. Expert Systems with Applications, 213, 119048.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