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Times New Roman" w:cs="Times New Roman" w:eastAsia="Times New Roman" w:hAnsi="Times New Roman"/>
          <w:b/>
          <w:bCs/>
          <w:sz w:val="26"/>
          <w:szCs w:val="26"/>
        </w:rPr>
        <w:t xml:space="preserve">UNIVERSIDAD EXTERNADO DE COLOMBIA</w:t>
      </w:r>
    </w:p>
    <w:p>
      <w:pPr>
        <w:spacing w:after="600"/>
        <w:jc w:val="center"/>
      </w:pPr>
      <w:r>
        <w:rPr>
          <w:rFonts w:ascii="Times New Roman" w:cs="Times New Roman" w:eastAsia="Times New Roman" w:hAnsi="Times New Roman"/>
          <w:sz w:val="22"/>
          <w:szCs w:val="22"/>
        </w:rPr>
        <w:t xml:space="preserve">Facultad de Ingeniería · Programa de Ciencia de Datos</w:t>
      </w:r>
    </w:p>
    <w:p>
      <w:pPr>
        <w:spacing w:after="120" w:before="600"/>
        <w:jc w:val="center"/>
      </w:pPr>
      <w:r>
        <w:rPr>
          <w:rFonts w:ascii="Times New Roman" w:cs="Times New Roman" w:eastAsia="Times New Roman" w:hAnsi="Times New Roman"/>
          <w:b/>
          <w:bCs/>
          <w:sz w:val="32"/>
          <w:szCs w:val="32"/>
        </w:rPr>
        <w:t xml:space="preserve">APÉNDICE A</w:t>
      </w:r>
    </w:p>
    <w:p>
      <w:pPr>
        <w:spacing w:after="120"/>
        <w:jc w:val="center"/>
      </w:pPr>
      <w:r>
        <w:rPr>
          <w:rFonts w:ascii="Times New Roman" w:cs="Times New Roman" w:eastAsia="Times New Roman" w:hAnsi="Times New Roman"/>
          <w:b/>
          <w:bCs/>
          <w:sz w:val="26"/>
          <w:szCs w:val="26"/>
        </w:rPr>
        <w:t xml:space="preserve">Desarrollo matemático y protocolo experimental del framework CFH</w:t>
      </w:r>
    </w:p>
    <w:p>
      <w:pPr>
        <w:spacing w:after="600"/>
        <w:jc w:val="center"/>
      </w:pPr>
      <w:r>
        <w:rPr>
          <w:rFonts w:ascii="Times New Roman" w:cs="Times New Roman" w:eastAsia="Times New Roman" w:hAnsi="Times New Roman"/>
          <w:i/>
          <w:iCs/>
          <w:sz w:val="22"/>
          <w:szCs w:val="22"/>
        </w:rPr>
        <w:t xml:space="preserve">Hermenéutica Forense Computacional</w:t>
      </w:r>
    </w:p>
    <w:p>
      <w:pPr>
        <w:spacing w:after="120" w:before="800"/>
        <w:jc w:val="center"/>
      </w:pPr>
      <w:r>
        <w:rPr>
          <w:rFonts w:ascii="Times New Roman" w:cs="Times New Roman" w:eastAsia="Times New Roman" w:hAnsi="Times New Roman"/>
          <w:b/>
          <w:bCs/>
          <w:sz w:val="22"/>
          <w:szCs w:val="22"/>
        </w:rPr>
        <w:t xml:space="preserve">Mireya Camacho Celis</w:t>
      </w:r>
    </w:p>
    <w:p>
      <w:pPr>
        <w:spacing w:after="600"/>
        <w:jc w:val="center"/>
      </w:pPr>
      <w:r>
        <w:rPr>
          <w:rFonts w:ascii="Times New Roman" w:cs="Times New Roman" w:eastAsia="Times New Roman" w:hAnsi="Times New Roman"/>
          <w:sz w:val="22"/>
          <w:szCs w:val="22"/>
        </w:rPr>
        <w:t xml:space="preserve">Director: Julián Zuluaga · Bogotá D.C., 2026</w:t>
      </w:r>
    </w:p>
    <w:p>
      <w:r>
        <w:br w:type="page"/>
      </w:r>
    </w:p>
    <w:p>
      <w:pPr>
        <w:pStyle w:val="Heading1"/>
        <w:spacing w:after="160" w:before="280"/>
      </w:pPr>
      <w:r>
        <w:rPr>
          <w:rFonts w:ascii="Times New Roman" w:cs="Times New Roman" w:eastAsia="Times New Roman" w:hAnsi="Times New Roman"/>
          <w:b/>
          <w:bCs/>
          <w:sz w:val="30"/>
          <w:szCs w:val="30"/>
        </w:rPr>
        <w:t xml:space="preserve">Nota preliminar</w:t>
      </w:r>
    </w:p>
    <w:p>
      <w:pPr>
        <w:spacing w:after="160" w:line="360" w:lineRule="auto"/>
        <w:jc w:val="both"/>
      </w:pPr>
      <w:r>
        <w:rPr>
          <w:rFonts w:ascii="Times New Roman" w:cs="Times New Roman" w:eastAsia="Times New Roman" w:hAnsi="Times New Roman"/>
          <w:sz w:val="22"/>
          <w:szCs w:val="22"/>
        </w:rPr>
        <w:t xml:space="preserve">Este apéndice formaliza los fundamentos matemáticos del framework de Hermenéutica Forense Computacional (CFH) y documenta el protocolo experimental que produce los resultados reportados en los capítulos 5 y 6. Cada sección presenta las ecuaciones del indicador o procedimiento, su implementación computacional y los valores verificados sobre el corpus definitivo. Todos los resultados numéricos provienen de la ejecución reproducible de los scripts del repositorio sobre los corpus canónicos: Corpus A (justicia ordinaria, N_A=819 secciones), Corpus B (autos escritos JEP del Macrocaso 003, N_B=54 secciones) y Corpus C (audiencias orales, 588 bloques de aproximadamente 2.000 caracteres). El tamaño N_B=54 corresponde al universo de documentos JEP del Macrocaso 003 disponibles públicamente al cierre del corpus.</w:t>
      </w:r>
    </w:p>
    <w:p>
      <w:pPr>
        <w:pStyle w:val="Heading2"/>
        <w:spacing w:after="120" w:before="220"/>
      </w:pPr>
      <w:r>
        <w:rPr>
          <w:rFonts w:ascii="Times New Roman" w:cs="Times New Roman" w:eastAsia="Times New Roman" w:hAnsi="Times New Roman"/>
          <w:b/>
          <w:bCs/>
          <w:sz w:val="26"/>
          <w:szCs w:val="26"/>
        </w:rPr>
        <w:t xml:space="preserve">A.0 Convención de normalización</w:t>
      </w:r>
    </w:p>
    <w:p>
      <w:pPr>
        <w:spacing w:after="160" w:line="360" w:lineRule="auto"/>
        <w:jc w:val="both"/>
      </w:pPr>
      <w:r>
        <w:rPr>
          <w:rFonts w:ascii="Times New Roman" w:cs="Times New Roman" w:eastAsia="Times New Roman" w:hAnsi="Times New Roman"/>
          <w:sz w:val="22"/>
          <w:szCs w:val="22"/>
        </w:rPr>
        <w:t xml:space="preserve">El framework emplea tres niveles de normalización, cada uno justificado por la naturaleza de los datos que procesa. Esta convención es transversal a todo el apéndice y se declara aquí una sola vez para garantizar coherencia.</w:t>
      </w:r>
    </w:p>
    <w:p>
      <w:pPr>
        <w:spacing w:after="160" w:line="360" w:lineRule="auto"/>
        <w:jc w:val="both"/>
      </w:pPr>
      <w:r>
        <w:rPr>
          <w:rFonts w:ascii="Times New Roman" w:cs="Times New Roman" w:eastAsia="Times New Roman" w:hAnsi="Times New Roman"/>
          <w:b/>
          <w:bCs/>
          <w:sz w:val="22"/>
          <w:szCs w:val="22"/>
        </w:rPr>
        <w:t xml:space="preserve">Nivel 1 — Indicadores léxico-semánticos (y₂, y₄, y₈, y₉, y₁₀). </w:t>
      </w:r>
      <w:r>
        <w:rPr>
          <w:rFonts w:ascii="Times New Roman" w:cs="Times New Roman" w:eastAsia="Times New Roman" w:hAnsi="Times New Roman"/>
          <w:sz w:val="22"/>
          <w:szCs w:val="22"/>
        </w:rPr>
        <w:t xml:space="preserve">Cada indicador se normaliza mediante z-score seguido de función sigmoide, calculado sobre la distribución conjunta de los tres corpus (A+B+C, n=1.461):</w:t>
      </w:r>
    </w:p>
    <w:p>
      <w:pPr>
        <w:spacing w:after="120" w:before="80"/>
        <w:jc w:val="center"/>
      </w:pPr>
      <w:r>
        <w:rPr>
          <w:rFonts w:ascii="Cambria Math" w:cs="Cambria Math" w:eastAsia="Cambria Math" w:hAnsi="Cambria Math"/>
          <w:i/>
          <w:iCs/>
          <w:sz w:val="24"/>
          <w:szCs w:val="24"/>
        </w:rPr>
        <w:t xml:space="preserve">ŷ = σ((y − μ) / s),   σ(z) = 1 / (1 + e^(−z))</w:t>
      </w:r>
    </w:p>
    <w:p>
      <w:pPr>
        <w:spacing w:after="160" w:line="360" w:lineRule="auto"/>
        <w:jc w:val="both"/>
      </w:pPr>
      <w:r>
        <w:rPr>
          <w:rFonts w:ascii="Times New Roman" w:cs="Times New Roman" w:eastAsia="Times New Roman" w:hAnsi="Times New Roman"/>
          <w:sz w:val="22"/>
          <w:szCs w:val="22"/>
        </w:rPr>
        <w:t xml:space="preserve">Este esquema mapea cada indicador al intervalo abierto (0,1) sin producir los valores 0,000 o 1,000 absolutos que genera la normalización min-max sobre muestras pequeñas. La media μ y la desviación s se calculan una sola vez sobre la distribución conjunta y se congelan como constantes de calibración.</w:t>
      </w:r>
    </w:p>
    <w:p>
      <w:pPr>
        <w:spacing w:after="160" w:line="360" w:lineRule="auto"/>
        <w:jc w:val="both"/>
      </w:pPr>
      <w:r>
        <w:rPr>
          <w:rFonts w:ascii="Times New Roman" w:cs="Times New Roman" w:eastAsia="Times New Roman" w:hAnsi="Times New Roman"/>
          <w:b/>
          <w:bCs/>
          <w:sz w:val="22"/>
          <w:szCs w:val="22"/>
        </w:rPr>
        <w:t xml:space="preserve">Nivel 2 — Índices compuestos (DIS, IEI). </w:t>
      </w:r>
      <w:r>
        <w:rPr>
          <w:rFonts w:ascii="Times New Roman" w:cs="Times New Roman" w:eastAsia="Times New Roman" w:hAnsi="Times New Roman"/>
          <w:sz w:val="22"/>
          <w:szCs w:val="22"/>
        </w:rPr>
        <w:t xml:space="preserve">Cada índice es una combinación lineal ponderada de indicadores ya normalizados en el Nivel 1. Como los pesos suman la unidad, el índice permanece en (0,1) sin requerir una segunda normalización. No se aplica min-max ni ninguna transformación adicional sobre el índice agregado.</w:t>
      </w:r>
    </w:p>
    <w:p>
      <w:pPr>
        <w:spacing w:after="160" w:line="360" w:lineRule="auto"/>
        <w:jc w:val="both"/>
      </w:pPr>
      <w:r>
        <w:rPr>
          <w:rFonts w:ascii="Times New Roman" w:cs="Times New Roman" w:eastAsia="Times New Roman" w:hAnsi="Times New Roman"/>
          <w:b/>
          <w:bCs/>
          <w:sz w:val="22"/>
          <w:szCs w:val="22"/>
        </w:rPr>
        <w:t xml:space="preserve">Nivel 3 — Índice multimodal (ICM). </w:t>
      </w:r>
      <w:r>
        <w:rPr>
          <w:rFonts w:ascii="Times New Roman" w:cs="Times New Roman" w:eastAsia="Times New Roman" w:hAnsi="Times New Roman"/>
          <w:sz w:val="22"/>
          <w:szCs w:val="22"/>
        </w:rPr>
        <w:t xml:space="preserve">Cada canal se normaliza según su naturaleza: el facial por z-score comparativo sobre el corpus; el vocal por escala fija anclada en valores de referencia de la literatura; y el verbal como proporción del discurso reparador. Este tratamiento diferenciado se justifica porque las señales faciales, acústicas y léxicas operan en escalas heterogéneas no comparables.</w:t>
      </w:r>
    </w:p>
    <w:p>
      <w:r>
        <w:br w:type="page"/>
      </w:r>
    </w:p>
    <w:p>
      <w:pPr>
        <w:pStyle w:val="Heading1"/>
        <w:spacing w:after="160" w:before="280"/>
      </w:pPr>
      <w:r>
        <w:rPr>
          <w:rFonts w:ascii="Times New Roman" w:cs="Times New Roman" w:eastAsia="Times New Roman" w:hAnsi="Times New Roman"/>
          <w:b/>
          <w:bCs/>
          <w:sz w:val="30"/>
          <w:szCs w:val="30"/>
        </w:rPr>
        <w:t xml:space="preserve">A.1 CFH-BERT v2: clasificador de secuencias con pérdida ponderada</w:t>
      </w:r>
    </w:p>
    <w:p>
      <w:pPr>
        <w:spacing w:after="160" w:line="360" w:lineRule="auto"/>
        <w:jc w:val="both"/>
      </w:pPr>
      <w:r>
        <w:rPr>
          <w:rFonts w:ascii="Times New Roman" w:cs="Times New Roman" w:eastAsia="Times New Roman" w:hAnsi="Times New Roman"/>
          <w:sz w:val="22"/>
          <w:szCs w:val="22"/>
        </w:rPr>
        <w:t xml:space="preserve">CFH-BERT v2 es un clasificador de etiquetado de secuencias construido sobre ConfliBERT-Spanish-BETO-Cased-v1 (Yang et al., 2023). Detecta tres mecanismos de violencia discursiva (EBI, SA, NV) y la Ruptura Epistémica Positiva (REP) sobre el texto judicial.</w:t>
      </w:r>
    </w:p>
    <w:p>
      <w:pPr>
        <w:pStyle w:val="Heading2"/>
        <w:spacing w:after="120" w:before="220"/>
      </w:pPr>
      <w:r>
        <w:rPr>
          <w:rFonts w:ascii="Times New Roman" w:cs="Times New Roman" w:eastAsia="Times New Roman" w:hAnsi="Times New Roman"/>
          <w:b/>
          <w:bCs/>
          <w:sz w:val="26"/>
          <w:szCs w:val="26"/>
        </w:rPr>
        <w:t xml:space="preserve">A.1.1 Arquitectura</w:t>
      </w:r>
    </w:p>
    <w:p>
      <w:pPr>
        <w:spacing w:after="160" w:line="360" w:lineRule="auto"/>
        <w:jc w:val="both"/>
      </w:pPr>
      <w:r>
        <w:rPr>
          <w:rFonts w:ascii="Times New Roman" w:cs="Times New Roman" w:eastAsia="Times New Roman" w:hAnsi="Times New Roman"/>
          <w:sz w:val="22"/>
          <w:szCs w:val="22"/>
        </w:rPr>
        <w:t xml:space="preserve">El modelo base es un Transformer de 12 capas con dimensión oculta H=768 y A=12 cabezas de atención. La atención multi-cabeza para cada cabeza se calcula como:</w:t>
      </w:r>
    </w:p>
    <w:p>
      <w:pPr>
        <w:spacing w:after="120" w:before="80"/>
        <w:jc w:val="center"/>
      </w:pPr>
      <w:r>
        <w:rPr>
          <w:rFonts w:ascii="Cambria Math" w:cs="Cambria Math" w:eastAsia="Cambria Math" w:hAnsi="Cambria Math"/>
          <w:i/>
          <w:iCs/>
          <w:sz w:val="24"/>
          <w:szCs w:val="24"/>
        </w:rPr>
        <w:t xml:space="preserve">Attention(Q,K,V) = softmax(QKᵀ / √d_k) · V,   d_k = H/A = 64</w:t>
      </w:r>
    </w:p>
    <w:p>
      <w:pPr>
        <w:spacing w:after="160" w:line="360" w:lineRule="auto"/>
        <w:jc w:val="both"/>
      </w:pPr>
      <w:r>
        <w:rPr>
          <w:rFonts w:ascii="Times New Roman" w:cs="Times New Roman" w:eastAsia="Times New Roman" w:hAnsi="Times New Roman"/>
          <w:sz w:val="22"/>
          <w:szCs w:val="22"/>
        </w:rPr>
        <w:t xml:space="preserve">Cada capa aplica normalización por capas (LayerNorm) y conexiones residuales. Sobre la representación contextual de cada token se aplica una capa lineal de clasificación seguida de softmax.</w:t>
      </w:r>
    </w:p>
    <w:p>
      <w:pPr>
        <w:pStyle w:val="Heading2"/>
        <w:spacing w:after="120" w:before="220"/>
      </w:pPr>
      <w:r>
        <w:rPr>
          <w:rFonts w:ascii="Times New Roman" w:cs="Times New Roman" w:eastAsia="Times New Roman" w:hAnsi="Times New Roman"/>
          <w:b/>
          <w:bCs/>
          <w:sz w:val="26"/>
          <w:szCs w:val="26"/>
        </w:rPr>
        <w:t xml:space="preserve">A.1.2 Esquema de etiquetado IO frente a BIO</w:t>
      </w:r>
    </w:p>
    <w:p>
      <w:pPr>
        <w:spacing w:after="160" w:line="360" w:lineRule="auto"/>
        <w:jc w:val="both"/>
      </w:pPr>
      <w:r>
        <w:rPr>
          <w:rFonts w:ascii="Times New Roman" w:cs="Times New Roman" w:eastAsia="Times New Roman" w:hAnsi="Times New Roman"/>
          <w:sz w:val="22"/>
          <w:szCs w:val="22"/>
        </w:rPr>
        <w:t xml:space="preserve">La versión v1 usaba el esquema BIO (Begin-Inside-Outside) con 9 clases, lo que fragmentaba las clases minoritarias en pares B-/I- y agravaba el desbalance. La versión v2 adopta el esquema IO (Inside-Outside) con 5 clases, colapsando cada par B-/I- en una sola etiqueta. Esto reduce la dispersión de probabilidad y mejora el aprendizaje de clases escasas.</w:t>
      </w:r>
    </w:p>
    <w:p>
      <w:pPr>
        <w:pStyle w:val="Heading2"/>
        <w:spacing w:after="120" w:before="220"/>
      </w:pPr>
      <w:r>
        <w:rPr>
          <w:rFonts w:ascii="Times New Roman" w:cs="Times New Roman" w:eastAsia="Times New Roman" w:hAnsi="Times New Roman"/>
          <w:b/>
          <w:bCs/>
          <w:sz w:val="26"/>
          <w:szCs w:val="26"/>
        </w:rPr>
        <w:t xml:space="preserve">A.1.3 Función de pérdida: Weighted Cross-Entropy</w:t>
      </w:r>
    </w:p>
    <w:p>
      <w:pPr>
        <w:spacing w:after="160" w:line="360" w:lineRule="auto"/>
        <w:jc w:val="both"/>
      </w:pPr>
      <w:r>
        <w:rPr>
          <w:rFonts w:ascii="Times New Roman" w:cs="Times New Roman" w:eastAsia="Times New Roman" w:hAnsi="Times New Roman"/>
          <w:sz w:val="22"/>
          <w:szCs w:val="22"/>
        </w:rPr>
        <w:t xml:space="preserve">El desbalance extremo de clases (la clase O domina, NV es muy escasa) se compensa mediante una pérdida de entropía cruzada ponderada. El peso de cada clase c es inversamente proporcional a su frecuencia:</w:t>
      </w:r>
    </w:p>
    <w:p>
      <w:pPr>
        <w:spacing w:after="120" w:before="80"/>
        <w:jc w:val="center"/>
      </w:pPr>
      <w:r>
        <w:rPr>
          <w:rFonts w:ascii="Cambria Math" w:cs="Cambria Math" w:eastAsia="Cambria Math" w:hAnsi="Cambria Math"/>
          <w:i/>
          <w:iCs/>
          <w:sz w:val="24"/>
          <w:szCs w:val="24"/>
        </w:rPr>
        <w:t xml:space="preserve">w_c = N_total / (C · N_c)</w:t>
      </w:r>
    </w:p>
    <w:p>
      <w:pPr>
        <w:spacing w:after="160" w:line="360" w:lineRule="auto"/>
        <w:jc w:val="both"/>
      </w:pPr>
      <w:r>
        <w:rPr>
          <w:rFonts w:ascii="Times New Roman" w:cs="Times New Roman" w:eastAsia="Times New Roman" w:hAnsi="Times New Roman"/>
          <w:sz w:val="22"/>
          <w:szCs w:val="22"/>
        </w:rPr>
        <w:t xml:space="preserve">donde N_total es el número total de tokens, C el número de clases y N_c el número de tokens de la clase c. La pérdida sobre el conjunto de entrenamiento es:</w:t>
      </w:r>
    </w:p>
    <w:p>
      <w:pPr>
        <w:spacing w:after="120" w:before="80"/>
        <w:jc w:val="center"/>
      </w:pPr>
      <w:r>
        <w:rPr>
          <w:rFonts w:ascii="Cambria Math" w:cs="Cambria Math" w:eastAsia="Cambria Math" w:hAnsi="Cambria Math"/>
          <w:i/>
          <w:iCs/>
          <w:sz w:val="24"/>
          <w:szCs w:val="24"/>
        </w:rPr>
        <w:t xml:space="preserve">L = −(1/N) Σ_i  w_{y_i} · log P(y_i | x_i)</w:t>
      </w:r>
    </w:p>
    <w:p>
      <w:pPr>
        <w:spacing w:after="160" w:line="360" w:lineRule="auto"/>
        <w:jc w:val="both"/>
      </w:pPr>
      <w:r>
        <w:rPr>
          <w:rFonts w:ascii="Times New Roman" w:cs="Times New Roman" w:eastAsia="Times New Roman" w:hAnsi="Times New Roman"/>
          <w:sz w:val="22"/>
          <w:szCs w:val="22"/>
        </w:rPr>
        <w:t xml:space="preserve">Con este esquema, la clase NV recibe un peso aproximadamente 19 veces mayor que la clase mayoritaria, lo que explica la mejora más notable del modelo.</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0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Clase</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Frecuencia relativa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Peso w_c (aprox.)</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O (Outside)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mayoritaria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EBI</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baja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~6×</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SA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media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~4×</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NV</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muy baja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~19×</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REP</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media-baja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~5×</w:t>
            </w:r>
          </w:p>
        </w:tc>
      </w:tr>
    </w:tbl>
    <w:p>
      <w:pPr>
        <w:spacing w:after="200" w:line="320"/>
        <w:jc w:val="both"/>
      </w:pPr>
      <w:r>
        <w:rPr>
          <w:rFonts w:ascii="Times New Roman" w:cs="Times New Roman" w:eastAsia="Times New Roman" w:hAnsi="Times New Roman"/>
          <w:i/>
          <w:iCs/>
          <w:sz w:val="18"/>
          <w:szCs w:val="18"/>
        </w:rPr>
        <w:t xml:space="preserve">Tabla A.1. Pesos por clase de la Weighted Cross-Entropy. La clase NV, la más escasa, recibe el mayor peso.</w:t>
      </w:r>
    </w:p>
    <w:p>
      <w:pPr>
        <w:pStyle w:val="Heading2"/>
        <w:spacing w:after="120" w:before="220"/>
      </w:pPr>
      <w:r>
        <w:rPr>
          <w:rFonts w:ascii="Times New Roman" w:cs="Times New Roman" w:eastAsia="Times New Roman" w:hAnsi="Times New Roman"/>
          <w:b/>
          <w:bCs/>
          <w:sz w:val="26"/>
          <w:szCs w:val="26"/>
        </w:rPr>
        <w:t xml:space="preserve">A.1.4 Resultados: v1 frente a v2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640"/>
        <w:gridCol w:w="1240"/>
        <w:gridCol w:w="1240"/>
        <w:gridCol w:w="1240"/>
        <w:gridCol w:w="124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Versión</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F1 macro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F1 REP</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F1 EBI</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F1 SA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F1 NV</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v1 (BIO, 9 clases)</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0.71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0.04</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v2 (IO, 5 clases)</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0.58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0.77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0.52</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0.32</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Δ (v2−v1)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+0.28</w:t>
            </w:r>
          </w:p>
        </w:tc>
      </w:tr>
    </w:tbl>
    <w:p>
      <w:pPr>
        <w:spacing w:after="200" w:line="320"/>
        <w:jc w:val="both"/>
      </w:pPr>
      <w:r>
        <w:rPr>
          <w:rFonts w:ascii="Times New Roman" w:cs="Times New Roman" w:eastAsia="Times New Roman" w:hAnsi="Times New Roman"/>
          <w:i/>
          <w:iCs/>
          <w:sz w:val="18"/>
          <w:szCs w:val="18"/>
        </w:rPr>
        <w:t xml:space="preserve">Tabla A.2. CFH-BERT v1 frente a v2 sobre 100 anotaciones. La mejora más grande es en NV (+0.28), atribuible al weighted loss.</w:t>
      </w:r>
    </w:p>
    <w:p>
      <w:r>
        <w:br w:type="page"/>
      </w:r>
    </w:p>
    <w:p>
      <w:pPr>
        <w:pStyle w:val="Heading1"/>
        <w:spacing w:after="160" w:before="280"/>
      </w:pPr>
      <w:r>
        <w:rPr>
          <w:rFonts w:ascii="Times New Roman" w:cs="Times New Roman" w:eastAsia="Times New Roman" w:hAnsi="Times New Roman"/>
          <w:b/>
          <w:bCs/>
          <w:sz w:val="30"/>
          <w:szCs w:val="30"/>
        </w:rPr>
        <w:t xml:space="preserve">A.2 ConfliBERT-Spanish: embeddings y distancias semánticas (y₈, y₉)</w:t>
      </w:r>
    </w:p>
    <w:p>
      <w:pPr>
        <w:spacing w:after="160" w:line="360" w:lineRule="auto"/>
        <w:jc w:val="both"/>
      </w:pPr>
      <w:r>
        <w:rPr>
          <w:rFonts w:ascii="Times New Roman" w:cs="Times New Roman" w:eastAsia="Times New Roman" w:hAnsi="Times New Roman"/>
          <w:sz w:val="22"/>
          <w:szCs w:val="22"/>
        </w:rPr>
        <w:t xml:space="preserve">Los indicadores semánticos y₈ (distancia al léxico de las víctimas, centroide MAFAPO) y y₉ (distancia a estándares de derechos humanos, centroide CIDH) miden la cercanía de cada segmento judicial a dos polos de referencia normativa, en el espacio de embeddings de ConfliBERT-Spanish.</w:t>
      </w:r>
    </w:p>
    <w:p>
      <w:pPr>
        <w:pStyle w:val="Heading2"/>
        <w:spacing w:after="120" w:before="220"/>
      </w:pPr>
      <w:r>
        <w:rPr>
          <w:rFonts w:ascii="Times New Roman" w:cs="Times New Roman" w:eastAsia="Times New Roman" w:hAnsi="Times New Roman"/>
          <w:b/>
          <w:bCs/>
          <w:sz w:val="26"/>
          <w:szCs w:val="26"/>
        </w:rPr>
        <w:t xml:space="preserve">A.2.1 Extracción del embedding</w:t>
      </w:r>
    </w:p>
    <w:p>
      <w:pPr>
        <w:spacing w:after="160" w:line="360" w:lineRule="auto"/>
        <w:jc w:val="both"/>
      </w:pPr>
      <w:r>
        <w:rPr>
          <w:rFonts w:ascii="Times New Roman" w:cs="Times New Roman" w:eastAsia="Times New Roman" w:hAnsi="Times New Roman"/>
          <w:sz w:val="22"/>
          <w:szCs w:val="22"/>
        </w:rPr>
        <w:t xml:space="preserve">Para cada bloque de texto se obtiene el embedding del token [CLS] de la última capa oculta del modelo, un vector de dimensión 768. Para bloques que exceden la longitud máxima del modelo (512 tokens) se aplica una ventana deslizante y se promedian los embeddings resultantes.</w:t>
      </w:r>
    </w:p>
    <w:p>
      <w:pPr>
        <w:spacing w:after="120" w:before="80"/>
        <w:jc w:val="center"/>
      </w:pPr>
      <w:r>
        <w:rPr>
          <w:rFonts w:ascii="Cambria Math" w:cs="Cambria Math" w:eastAsia="Cambria Math" w:hAnsi="Cambria Math"/>
          <w:i/>
          <w:iCs/>
          <w:sz w:val="24"/>
          <w:szCs w:val="24"/>
        </w:rPr>
        <w:t xml:space="preserve">e(t) = ConfliBERT(t)[CLS] ∈ ℝ⁷⁶⁸</w:t>
      </w:r>
    </w:p>
    <w:p>
      <w:pPr>
        <w:pStyle w:val="Heading2"/>
        <w:spacing w:after="120" w:before="220"/>
      </w:pPr>
      <w:r>
        <w:rPr>
          <w:rFonts w:ascii="Times New Roman" w:cs="Times New Roman" w:eastAsia="Times New Roman" w:hAnsi="Times New Roman"/>
          <w:b/>
          <w:bCs/>
          <w:sz w:val="26"/>
          <w:szCs w:val="26"/>
        </w:rPr>
        <w:t xml:space="preserve">A.2.2 Construcción de los centroides</w:t>
      </w:r>
    </w:p>
    <w:p>
      <w:pPr>
        <w:spacing w:after="160" w:line="360" w:lineRule="auto"/>
        <w:jc w:val="both"/>
      </w:pPr>
      <w:r>
        <w:rPr>
          <w:rFonts w:ascii="Times New Roman" w:cs="Times New Roman" w:eastAsia="Times New Roman" w:hAnsi="Times New Roman"/>
          <w:sz w:val="22"/>
          <w:szCs w:val="22"/>
        </w:rPr>
        <w:t xml:space="preserve">Cada centroide de referencia es el promedio de los embeddings de su corpus de referencia. El centroide MAFAPO v5 se construyó a partir de 293 textos de comunicados, declaraciones ante la JEP e informes de las Madres de Falsos Positivos; el centroide CIDH a partir de fragmentos de la sentencia Villamizar Durán y otros vs. Colombia (Corte IDH, 2018) y comunicados de la CIDH.</w:t>
      </w:r>
    </w:p>
    <w:p>
      <w:pPr>
        <w:spacing w:after="120" w:before="80"/>
        <w:jc w:val="center"/>
      </w:pPr>
      <w:r>
        <w:rPr>
          <w:rFonts w:ascii="Cambria Math" w:cs="Cambria Math" w:eastAsia="Cambria Math" w:hAnsi="Cambria Math"/>
          <w:i/>
          <w:iCs/>
          <w:sz w:val="24"/>
          <w:szCs w:val="24"/>
        </w:rPr>
        <w:t xml:space="preserve">c_MAFAPO = (1/n) Σ_j e(t_j),   j = 1…293</w:t>
      </w:r>
    </w:p>
    <w:p>
      <w:pPr>
        <w:pStyle w:val="Heading2"/>
        <w:spacing w:after="120" w:before="220"/>
      </w:pPr>
      <w:r>
        <w:rPr>
          <w:rFonts w:ascii="Times New Roman" w:cs="Times New Roman" w:eastAsia="Times New Roman" w:hAnsi="Times New Roman"/>
          <w:b/>
          <w:bCs/>
          <w:sz w:val="26"/>
          <w:szCs w:val="26"/>
        </w:rPr>
        <w:t xml:space="preserve">A.2.3 Distancia coseno</w:t>
      </w:r>
    </w:p>
    <w:p>
      <w:pPr>
        <w:spacing w:after="160" w:line="360" w:lineRule="auto"/>
        <w:jc w:val="both"/>
      </w:pPr>
      <w:r>
        <w:rPr>
          <w:rFonts w:ascii="Times New Roman" w:cs="Times New Roman" w:eastAsia="Times New Roman" w:hAnsi="Times New Roman"/>
          <w:sz w:val="22"/>
          <w:szCs w:val="22"/>
        </w:rPr>
        <w:t xml:space="preserve">Los indicadores y₈ e y₉ son la distancia coseno entre el embedding del bloque y cada centroide. Un valor menor indica mayor cercanía semántica al polo de referencia:</w:t>
      </w:r>
    </w:p>
    <w:p>
      <w:pPr>
        <w:spacing w:after="120" w:before="80"/>
        <w:jc w:val="center"/>
      </w:pPr>
      <w:r>
        <w:rPr>
          <w:rFonts w:ascii="Cambria Math" w:cs="Cambria Math" w:eastAsia="Cambria Math" w:hAnsi="Cambria Math"/>
          <w:i/>
          <w:iCs/>
          <w:sz w:val="24"/>
          <w:szCs w:val="24"/>
        </w:rPr>
        <w:t xml:space="preserve">d(e, c) = 1 − (e · c) / (‖e‖ · ‖c‖)</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000"/>
        <w:gridCol w:w="1640"/>
        <w:gridCol w:w="1640"/>
        <w:gridCol w:w="1640"/>
        <w:gridCol w:w="184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Indicador</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Corpus 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Corpus B</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Corpus C</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p (A vs B)</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y₈ Dist. MAFAPO</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0.211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0.191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0.161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&lt;0.001 ***</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y₉ Dist. CIDH</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0.254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0.235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0.263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&lt;0.001 ***</w:t>
            </w:r>
          </w:p>
        </w:tc>
      </w:tr>
    </w:tbl>
    <w:p>
      <w:pPr>
        <w:spacing w:after="200" w:line="320"/>
        <w:jc w:val="both"/>
      </w:pPr>
      <w:r>
        <w:rPr>
          <w:rFonts w:ascii="Times New Roman" w:cs="Times New Roman" w:eastAsia="Times New Roman" w:hAnsi="Times New Roman"/>
          <w:i/>
          <w:iCs/>
          <w:sz w:val="18"/>
          <w:szCs w:val="18"/>
        </w:rPr>
        <w:t xml:space="preserve">Tabla A.3. Distancias semánticas medias por corpus (valores crudos, antes de normalización). Ambas distinguen significativamente A de B y resisten el control temporal (§5.7.1).</w:t>
      </w:r>
    </w:p>
    <w:p>
      <w:r>
        <w:br w:type="page"/>
      </w:r>
    </w:p>
    <w:p>
      <w:pPr>
        <w:pStyle w:val="Heading1"/>
        <w:spacing w:after="160" w:before="280"/>
      </w:pPr>
      <w:r>
        <w:rPr>
          <w:rFonts w:ascii="Times New Roman" w:cs="Times New Roman" w:eastAsia="Times New Roman" w:hAnsi="Times New Roman"/>
          <w:b/>
          <w:bCs/>
          <w:sz w:val="30"/>
          <w:szCs w:val="30"/>
        </w:rPr>
        <w:t xml:space="preserve">A.3 Score de Supresión de Agentividad (y₂)</w:t>
      </w:r>
    </w:p>
    <w:p>
      <w:pPr>
        <w:spacing w:after="160" w:line="360" w:lineRule="auto"/>
        <w:jc w:val="both"/>
      </w:pPr>
      <w:r>
        <w:rPr>
          <w:rFonts w:ascii="Times New Roman" w:cs="Times New Roman" w:eastAsia="Times New Roman" w:hAnsi="Times New Roman"/>
          <w:sz w:val="22"/>
          <w:szCs w:val="22"/>
        </w:rPr>
        <w:t xml:space="preserve">El indicador y₂ mide la proporción de construcciones gramaticales que ocultan al agente responsable. Se calcula mediante análisis de dependencias sintácticas con spaCy, detectando tres patrones formales.</w:t>
      </w:r>
    </w:p>
    <w:p>
      <w:pPr>
        <w:spacing w:after="160" w:line="360" w:lineRule="auto"/>
        <w:jc w:val="both"/>
      </w:pPr>
      <w:r>
        <w:rPr>
          <w:rFonts w:ascii="Times New Roman" w:cs="Times New Roman" w:eastAsia="Times New Roman" w:hAnsi="Times New Roman"/>
          <w:b/>
          <w:bCs/>
          <w:sz w:val="22"/>
          <w:szCs w:val="22"/>
        </w:rPr>
        <w:t xml:space="preserve">Pasivas sin agente: </w:t>
      </w:r>
      <w:r>
        <w:rPr>
          <w:rFonts w:ascii="Times New Roman" w:cs="Times New Roman" w:eastAsia="Times New Roman" w:hAnsi="Times New Roman"/>
          <w:sz w:val="22"/>
          <w:szCs w:val="22"/>
        </w:rPr>
        <w:t xml:space="preserve">oraciones con verbo en voz pasiva (etiqueta aux:pass) sin complemento agente explícito.</w:t>
      </w:r>
    </w:p>
    <w:p>
      <w:pPr>
        <w:spacing w:after="120" w:before="80"/>
        <w:jc w:val="center"/>
      </w:pPr>
      <w:r>
        <w:rPr>
          <w:rFonts w:ascii="Cambria Math" w:cs="Cambria Math" w:eastAsia="Cambria Math" w:hAnsi="Cambria Math"/>
          <w:i/>
          <w:iCs/>
          <w:sz w:val="24"/>
          <w:szCs w:val="24"/>
        </w:rPr>
        <w:t xml:space="preserve">𝟙_pasiva(s) = 1 si ∃ aux:pass ∧ ∄ agente explícito</w:t>
      </w:r>
    </w:p>
    <w:p>
      <w:pPr>
        <w:spacing w:after="160" w:line="360" w:lineRule="auto"/>
        <w:jc w:val="both"/>
      </w:pPr>
      <w:r>
        <w:rPr>
          <w:rFonts w:ascii="Times New Roman" w:cs="Times New Roman" w:eastAsia="Times New Roman" w:hAnsi="Times New Roman"/>
          <w:b/>
          <w:bCs/>
          <w:sz w:val="22"/>
          <w:szCs w:val="22"/>
        </w:rPr>
        <w:t xml:space="preserve">Impersonales con «se»: </w:t>
      </w:r>
      <w:r>
        <w:rPr>
          <w:rFonts w:ascii="Times New Roman" w:cs="Times New Roman" w:eastAsia="Times New Roman" w:hAnsi="Times New Roman"/>
          <w:sz w:val="22"/>
          <w:szCs w:val="22"/>
        </w:rPr>
        <w:t xml:space="preserve">construcciones con «se» sin sujeto nominal (sin nsubj).</w:t>
      </w:r>
    </w:p>
    <w:p>
      <w:pPr>
        <w:spacing w:after="120" w:before="80"/>
        <w:jc w:val="center"/>
      </w:pPr>
      <w:r>
        <w:rPr>
          <w:rFonts w:ascii="Cambria Math" w:cs="Cambria Math" w:eastAsia="Cambria Math" w:hAnsi="Cambria Math"/>
          <w:i/>
          <w:iCs/>
          <w:sz w:val="24"/>
          <w:szCs w:val="24"/>
        </w:rPr>
        <w:t xml:space="preserve">𝟙_imp(s) = 1 si «se» ∧ ∄ nsubj</w:t>
      </w:r>
    </w:p>
    <w:p>
      <w:pPr>
        <w:spacing w:after="160" w:line="360" w:lineRule="auto"/>
        <w:jc w:val="both"/>
      </w:pPr>
      <w:r>
        <w:rPr>
          <w:rFonts w:ascii="Times New Roman" w:cs="Times New Roman" w:eastAsia="Times New Roman" w:hAnsi="Times New Roman"/>
          <w:b/>
          <w:bCs/>
          <w:sz w:val="22"/>
          <w:szCs w:val="22"/>
        </w:rPr>
        <w:t xml:space="preserve">Nominalizaciones: </w:t>
      </w:r>
      <w:r>
        <w:rPr>
          <w:rFonts w:ascii="Times New Roman" w:cs="Times New Roman" w:eastAsia="Times New Roman" w:hAnsi="Times New Roman"/>
          <w:sz w:val="22"/>
          <w:szCs w:val="22"/>
        </w:rPr>
        <w:t xml:space="preserve">sustantivos derivados de verbos (sufijos -ción, -miento, -da) que encapsulan la acción sin nombrar al agente.</w:t>
      </w:r>
    </w:p>
    <w:p>
      <w:pPr>
        <w:spacing w:after="160" w:line="360" w:lineRule="auto"/>
        <w:jc w:val="both"/>
      </w:pPr>
      <w:r>
        <w:rPr>
          <w:rFonts w:ascii="Times New Roman" w:cs="Times New Roman" w:eastAsia="Times New Roman" w:hAnsi="Times New Roman"/>
          <w:sz w:val="22"/>
          <w:szCs w:val="22"/>
        </w:rPr>
        <w:t xml:space="preserve">El score final es la proporción de oraciones del bloque que contienen al menos uno de estos patrones:</w:t>
      </w:r>
    </w:p>
    <w:p>
      <w:pPr>
        <w:spacing w:after="120" w:before="80"/>
        <w:jc w:val="center"/>
      </w:pPr>
      <w:r>
        <w:rPr>
          <w:rFonts w:ascii="Cambria Math" w:cs="Cambria Math" w:eastAsia="Cambria Math" w:hAnsi="Cambria Math"/>
          <w:i/>
          <w:iCs/>
          <w:sz w:val="24"/>
          <w:szCs w:val="24"/>
        </w:rPr>
        <w:t xml:space="preserve">y₂ = (1/N_or) Σ_s max(𝟙_pasiva, 𝟙_imp, 𝟙_nom)</w:t>
      </w:r>
    </w:p>
    <w:p>
      <w:pPr>
        <w:spacing w:after="160" w:line="360" w:lineRule="auto"/>
        <w:jc w:val="both"/>
      </w:pPr>
      <w:r>
        <w:rPr>
          <w:rFonts w:ascii="Times New Roman" w:cs="Times New Roman" w:eastAsia="Times New Roman" w:hAnsi="Times New Roman"/>
          <w:sz w:val="22"/>
          <w:szCs w:val="22"/>
        </w:rPr>
        <w:t xml:space="preserve">Nota interpretativa: el SA no difiere significativamente entre la justicia ordinaria y la JEP (A=0.885, B=0.913, p=0.934 n.s.), lo que indica que es una convención transversal del género jurídico-institucional colombiano, no un mecanismo de encubrimiento exclusivo de un sistema. Esta propiedad es central para entender por qué el DIS agregado no separa A de B (véase A.6 y §5.13.1).</w:t>
      </w:r>
    </w:p>
    <w:p>
      <w:r>
        <w:br w:type="page"/>
      </w:r>
    </w:p>
    <w:p>
      <w:pPr>
        <w:pStyle w:val="Heading1"/>
        <w:spacing w:after="160" w:before="280"/>
      </w:pPr>
      <w:r>
        <w:rPr>
          <w:rFonts w:ascii="Times New Roman" w:cs="Times New Roman" w:eastAsia="Times New Roman" w:hAnsi="Times New Roman"/>
          <w:b/>
          <w:bCs/>
          <w:sz w:val="30"/>
          <w:szCs w:val="30"/>
        </w:rPr>
        <w:t xml:space="preserve">A.4 Canal vocal: features acústicas eGeMAPS (ICM vocal)</w:t>
      </w:r>
    </w:p>
    <w:p>
      <w:pPr>
        <w:spacing w:after="160" w:line="360" w:lineRule="auto"/>
        <w:jc w:val="both"/>
      </w:pPr>
      <w:r>
        <w:rPr>
          <w:rFonts w:ascii="Times New Roman" w:cs="Times New Roman" w:eastAsia="Times New Roman" w:hAnsi="Times New Roman"/>
          <w:sz w:val="22"/>
          <w:szCs w:val="22"/>
        </w:rPr>
        <w:t xml:space="preserve">El canal vocal del ICM se extrae con OpenSMILE sobre el conjunto eGeMAPS v02 (88 features acústicas), aplicado a los segmentos diarizados del compareciente. El ICM vocal se construye sobre tres descriptores de fundamento prosódico directo en el distress emocional.</w:t>
      </w:r>
    </w:p>
    <w:p>
      <w:pPr>
        <w:spacing w:after="160" w:line="360" w:lineRule="auto"/>
        <w:jc w:val="both"/>
      </w:pPr>
      <w:r>
        <w:rPr>
          <w:rFonts w:ascii="Times New Roman" w:cs="Times New Roman" w:eastAsia="Times New Roman" w:hAnsi="Times New Roman"/>
          <w:b/>
          <w:bCs/>
          <w:sz w:val="22"/>
          <w:szCs w:val="22"/>
        </w:rPr>
        <w:t xml:space="preserve">Shimmer (localDB): </w:t>
      </w:r>
      <w:r>
        <w:rPr>
          <w:rFonts w:ascii="Times New Roman" w:cs="Times New Roman" w:eastAsia="Times New Roman" w:hAnsi="Times New Roman"/>
          <w:sz w:val="22"/>
          <w:szCs w:val="22"/>
        </w:rPr>
        <w:t xml:space="preserve">irregularidad de amplitud ciclo a ciclo, asociada al quiebre de voz. Para N ciclos con amplitudes A_i:</w:t>
      </w:r>
    </w:p>
    <w:p>
      <w:pPr>
        <w:spacing w:after="120" w:before="80"/>
        <w:jc w:val="center"/>
      </w:pPr>
      <w:r>
        <w:rPr>
          <w:rFonts w:ascii="Cambria Math" w:cs="Cambria Math" w:eastAsia="Cambria Math" w:hAnsi="Cambria Math"/>
          <w:i/>
          <w:iCs/>
          <w:sz w:val="24"/>
          <w:szCs w:val="24"/>
        </w:rPr>
        <w:t xml:space="preserve">shimmer = (1/(N−1)) Σ |20·log₁₀(A_{i+1}/A_i)|</w:t>
      </w:r>
    </w:p>
    <w:p>
      <w:pPr>
        <w:spacing w:after="160" w:line="360" w:lineRule="auto"/>
        <w:jc w:val="both"/>
      </w:pPr>
      <w:r>
        <w:rPr>
          <w:rFonts w:ascii="Times New Roman" w:cs="Times New Roman" w:eastAsia="Times New Roman" w:hAnsi="Times New Roman"/>
          <w:b/>
          <w:bCs/>
          <w:sz w:val="22"/>
          <w:szCs w:val="22"/>
        </w:rPr>
        <w:t xml:space="preserve">Variabilidad de F0: </w:t>
      </w:r>
      <w:r>
        <w:rPr>
          <w:rFonts w:ascii="Times New Roman" w:cs="Times New Roman" w:eastAsia="Times New Roman" w:hAnsi="Times New Roman"/>
          <w:sz w:val="22"/>
          <w:szCs w:val="22"/>
        </w:rPr>
        <w:t xml:space="preserve">desviación estándar de la frecuencia fundamental, indicador de modulación tonal.</w:t>
      </w:r>
    </w:p>
    <w:p>
      <w:pPr>
        <w:spacing w:after="120" w:before="80"/>
        <w:jc w:val="center"/>
      </w:pPr>
      <w:r>
        <w:rPr>
          <w:rFonts w:ascii="Cambria Math" w:cs="Cambria Math" w:eastAsia="Cambria Math" w:hAnsi="Cambria Math"/>
          <w:i/>
          <w:iCs/>
          <w:sz w:val="24"/>
          <w:szCs w:val="24"/>
        </w:rPr>
        <w:t xml:space="preserve">F0_std = √( (1/N) Σ (F0_i − F̄0)² )</w:t>
      </w:r>
    </w:p>
    <w:p>
      <w:pPr>
        <w:spacing w:after="160" w:line="360" w:lineRule="auto"/>
        <w:jc w:val="both"/>
      </w:pPr>
      <w:r>
        <w:rPr>
          <w:rFonts w:ascii="Times New Roman" w:cs="Times New Roman" w:eastAsia="Times New Roman" w:hAnsi="Times New Roman"/>
          <w:b/>
          <w:bCs/>
          <w:sz w:val="22"/>
          <w:szCs w:val="22"/>
        </w:rPr>
        <w:t xml:space="preserve">HNR invertido: </w:t>
      </w:r>
      <w:r>
        <w:rPr>
          <w:rFonts w:ascii="Times New Roman" w:cs="Times New Roman" w:eastAsia="Times New Roman" w:hAnsi="Times New Roman"/>
          <w:sz w:val="22"/>
          <w:szCs w:val="22"/>
        </w:rPr>
        <w:t xml:space="preserve">razón armónico-ruido invertida, asociada a calidad vocal degradada bajo carga emocional.</w:t>
      </w:r>
    </w:p>
    <w:p>
      <w:pPr>
        <w:spacing w:after="160" w:line="360" w:lineRule="auto"/>
        <w:jc w:val="both"/>
      </w:pPr>
      <w:r>
        <w:rPr>
          <w:rFonts w:ascii="Times New Roman" w:cs="Times New Roman" w:eastAsia="Times New Roman" w:hAnsi="Times New Roman"/>
          <w:sz w:val="22"/>
          <w:szCs w:val="22"/>
        </w:rPr>
        <w:t xml:space="preserve">El canal vocal se normaliza mediante una escala fija anclada en valores de referencia de la literatura (piso fisiológico y techo documentado), produciendo valores absolutos comparables e independientes de la composición de la muestra (Nivel 3, A.0).</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Subcaso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Shimmer (dB)</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ICM vocal</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Casanare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1.42 (máx.)</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0.415</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Catatumbo</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0.272</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Dabeiba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0.452 (máx.)</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Huila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0.342</w:t>
            </w:r>
          </w:p>
        </w:tc>
      </w:tr>
    </w:tbl>
    <w:p>
      <w:pPr>
        <w:spacing w:after="200" w:line="320"/>
        <w:jc w:val="both"/>
      </w:pPr>
      <w:r>
        <w:rPr>
          <w:rFonts w:ascii="Times New Roman" w:cs="Times New Roman" w:eastAsia="Times New Roman" w:hAnsi="Times New Roman"/>
          <w:i/>
          <w:iCs/>
          <w:sz w:val="18"/>
          <w:szCs w:val="18"/>
        </w:rPr>
        <w:t xml:space="preserve">Tabla A.4. ICM vocal por subcaso. Casanare presenta el shimmer más alto del corpus pese a su bajo ICM facial — la divergencia vocal-facial (Δ=0.225) es la mayor del corpus.</w:t>
      </w:r>
    </w:p>
    <w:p>
      <w:r>
        <w:br w:type="page"/>
      </w:r>
    </w:p>
    <w:p>
      <w:pPr>
        <w:pStyle w:val="Heading1"/>
        <w:spacing w:after="160" w:before="280"/>
      </w:pPr>
      <w:r>
        <w:rPr>
          <w:rFonts w:ascii="Times New Roman" w:cs="Times New Roman" w:eastAsia="Times New Roman" w:hAnsi="Times New Roman"/>
          <w:b/>
          <w:bCs/>
          <w:sz w:val="30"/>
          <w:szCs w:val="30"/>
        </w:rPr>
        <w:t xml:space="preserve">A.5 Canal facial: Action Units con MediaPipe (ICM facial)</w:t>
      </w:r>
    </w:p>
    <w:p>
      <w:pPr>
        <w:spacing w:after="160" w:line="360" w:lineRule="auto"/>
        <w:jc w:val="both"/>
      </w:pPr>
      <w:r>
        <w:rPr>
          <w:rFonts w:ascii="Times New Roman" w:cs="Times New Roman" w:eastAsia="Times New Roman" w:hAnsi="Times New Roman"/>
          <w:sz w:val="22"/>
          <w:szCs w:val="22"/>
        </w:rPr>
        <w:t xml:space="preserve">El canal facial se extrae con MediaPipe FaceLandmarker sobre los segmentos diarizados del compareciente. Se computan Action Units (AUs) del sistema FACS asociadas al distress (AU4 ceño fruncido, AU1 elevación de cejas, AU15 comisuras hacia abajo) y a la sonrisa social (AU12).</w:t>
      </w:r>
    </w:p>
    <w:p>
      <w:pPr>
        <w:spacing w:after="160" w:line="360" w:lineRule="auto"/>
        <w:jc w:val="both"/>
      </w:pPr>
      <w:r>
        <w:rPr>
          <w:rFonts w:ascii="Times New Roman" w:cs="Times New Roman" w:eastAsia="Times New Roman" w:hAnsi="Times New Roman"/>
          <w:sz w:val="22"/>
          <w:szCs w:val="22"/>
        </w:rPr>
        <w:t xml:space="preserve">El ICM facial se define como la proporción de distress respecto al total de expresión emocional detectada:</w:t>
      </w:r>
    </w:p>
    <w:p>
      <w:pPr>
        <w:spacing w:after="120" w:before="80"/>
        <w:jc w:val="center"/>
      </w:pPr>
      <w:r>
        <w:rPr>
          <w:rFonts w:ascii="Cambria Math" w:cs="Cambria Math" w:eastAsia="Cambria Math" w:hAnsi="Cambria Math"/>
          <w:i/>
          <w:iCs/>
          <w:sz w:val="24"/>
          <w:szCs w:val="24"/>
        </w:rPr>
        <w:t xml:space="preserve">ICM_facial = distress / (distress + sonrisa)</w:t>
      </w:r>
    </w:p>
    <w:p>
      <w:pPr>
        <w:spacing w:after="160" w:line="360" w:lineRule="auto"/>
        <w:jc w:val="both"/>
      </w:pPr>
      <w:r>
        <w:rPr>
          <w:rFonts w:ascii="Times New Roman" w:cs="Times New Roman" w:eastAsia="Times New Roman" w:hAnsi="Times New Roman"/>
          <w:sz w:val="22"/>
          <w:szCs w:val="22"/>
        </w:rPr>
        <w:t xml:space="preserve">Un valor alto indica predominio de AUs de distress; un valor bajo, predominio de sonrisa. El canal facial se normaliza por z-score comparativo sobre la distribución del corpus, con media y desviación congeladas como constantes de calibración (Nivel 3, A.0).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900"/>
        <w:gridCol w:w="1700"/>
        <w:gridCol w:w="17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Subcaso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AU4 ceño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AU12 sonrisa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Detección %</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ICM facial</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Casanare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0.076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0.091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86%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0.190</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Catatumbo</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0.183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0.131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55%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0.272</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Huila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0.235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0.085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93%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0.299</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Dabeiba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0.371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0.079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40%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0.353</w:t>
            </w:r>
          </w:p>
        </w:tc>
      </w:tr>
    </w:tbl>
    <w:p>
      <w:pPr>
        <w:spacing w:after="200" w:line="320"/>
        <w:jc w:val="both"/>
      </w:pPr>
      <w:r>
        <w:rPr>
          <w:rFonts w:ascii="Times New Roman" w:cs="Times New Roman" w:eastAsia="Times New Roman" w:hAnsi="Times New Roman"/>
          <w:i/>
          <w:iCs/>
          <w:sz w:val="18"/>
          <w:szCs w:val="18"/>
        </w:rPr>
        <w:t xml:space="preserve">Tabla A.5. ICM facial por subcaso. La tasa de detección variable (40–93%) limita la comparabilidad; la baja detección en Dabeiba (40%) exige cautela interpretativa.</w:t>
      </w:r>
    </w:p>
    <w:p>
      <w:pPr>
        <w:spacing w:after="160" w:line="360" w:lineRule="auto"/>
        <w:jc w:val="both"/>
      </w:pPr>
      <w:r>
        <w:rPr>
          <w:rFonts w:ascii="Times New Roman" w:cs="Times New Roman" w:eastAsia="Times New Roman" w:hAnsi="Times New Roman"/>
          <w:b/>
          <w:bCs/>
          <w:sz w:val="22"/>
          <w:szCs w:val="22"/>
        </w:rPr>
        <w:t xml:space="preserve">Salvaguarda epistemológica. </w:t>
      </w:r>
      <w:r>
        <w:rPr>
          <w:rFonts w:ascii="Times New Roman" w:cs="Times New Roman" w:eastAsia="Times New Roman" w:hAnsi="Times New Roman"/>
          <w:sz w:val="22"/>
          <w:szCs w:val="22"/>
        </w:rPr>
        <w:t xml:space="preserve">Conforme a Barrett et al. (2019), las configuraciones faciales no decodifican estados emocionales internos de manera universal. El ICM facial no mide sinceridad individual de los comparecientes: mide congruencia entre canales comunicativos a nivel de corpus. Adicionalmente, MediaPipe no ha sido auditado sobre rostros mestizos, afrocolombianos o indígenas (Buolamwini y Gebru, 2018), por lo que los resultados faciales deben interpretarse con esta limitación explícita.</w:t>
      </w:r>
    </w:p>
    <w:p>
      <w:r>
        <w:br w:type="page"/>
      </w:r>
    </w:p>
    <w:p>
      <w:pPr>
        <w:pStyle w:val="Heading1"/>
        <w:spacing w:after="160" w:before="280"/>
      </w:pPr>
      <w:r>
        <w:rPr>
          <w:rFonts w:ascii="Times New Roman" w:cs="Times New Roman" w:eastAsia="Times New Roman" w:hAnsi="Times New Roman"/>
          <w:b/>
          <w:bCs/>
          <w:sz w:val="30"/>
          <w:szCs w:val="30"/>
        </w:rPr>
        <w:t xml:space="preserve">A.6 Índice de Injusticia Discursiva (DIS Score)</w:t>
      </w:r>
    </w:p>
    <w:p>
      <w:pPr>
        <w:spacing w:after="160" w:line="360" w:lineRule="auto"/>
        <w:jc w:val="both"/>
      </w:pPr>
      <w:r>
        <w:rPr>
          <w:rFonts w:ascii="Times New Roman" w:cs="Times New Roman" w:eastAsia="Times New Roman" w:hAnsi="Times New Roman"/>
          <w:sz w:val="22"/>
          <w:szCs w:val="22"/>
        </w:rPr>
        <w:t xml:space="preserve">El DIS Score sintetiza la injusticia discursiva en sentido amplio: gramática (SA), léxico (NV) y ausencia de reparación (REP invertido). Es una combinación lineal de tres indicadores normalizados en el Nivel 1 (A.0):</w:t>
      </w:r>
    </w:p>
    <w:p>
      <w:pPr>
        <w:spacing w:after="120" w:before="80"/>
        <w:jc w:val="center"/>
      </w:pPr>
      <w:r>
        <w:rPr>
          <w:rFonts w:ascii="Cambria Math" w:cs="Cambria Math" w:eastAsia="Cambria Math" w:hAnsi="Cambria Math"/>
          <w:i/>
          <w:iCs/>
          <w:sz w:val="24"/>
          <w:szCs w:val="24"/>
        </w:rPr>
        <w:t xml:space="preserve">DIS = 0.35·ŷ₂ + 0.35·ŷ₄ + 0.30·(1 − ŷ₁₀)</w:t>
      </w:r>
    </w:p>
    <w:p>
      <w:pPr>
        <w:spacing w:after="160" w:line="360" w:lineRule="auto"/>
        <w:jc w:val="both"/>
      </w:pPr>
      <w:r>
        <w:rPr>
          <w:rFonts w:ascii="Times New Roman" w:cs="Times New Roman" w:eastAsia="Times New Roman" w:hAnsi="Times New Roman"/>
          <w:sz w:val="22"/>
          <w:szCs w:val="22"/>
        </w:rPr>
        <w:t xml:space="preserve">Los pesos son a priori, fundamentados teóricamente: SA y NV (peso 0.35 cada uno) representan los dos mecanismos activos de violencia discursiva en el marco de Galtung; la ausencia de REP (peso 0.30) representa la no-reparación. Un análisis de parsimonia sobre el espacio de pesos confirma que el ranking de subcasos es estable ante variaciones razonables de la ponderación.</w:t>
      </w:r>
    </w:p>
    <w:p>
      <w:pPr>
        <w:pStyle w:val="Heading2"/>
        <w:spacing w:after="120" w:before="220"/>
      </w:pPr>
      <w:r>
        <w:rPr>
          <w:rFonts w:ascii="Times New Roman" w:cs="Times New Roman" w:eastAsia="Times New Roman" w:hAnsi="Times New Roman"/>
          <w:b/>
          <w:bCs/>
          <w:sz w:val="26"/>
          <w:szCs w:val="26"/>
        </w:rPr>
        <w:t xml:space="preserve">A.6.1 Valores por subcaso (Corpus C, base unificada)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1500"/>
        <w:gridCol w:w="1500"/>
        <w:gridCol w:w="1600"/>
        <w:gridCol w:w="15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Subcaso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n</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ŷ₂ SA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ŷ₄ NV</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ŷ₁₀ REP</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DIS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Casanare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124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0.978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0.115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0.592</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Costa Caribe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128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0.782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0.388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0.117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0.512</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Dabeiba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144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0.807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0.248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0.088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0.491</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Huila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134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0.777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0.215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0.138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0.467</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Catatumbo</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58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0.532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0.215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0.105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0.417</w:t>
            </w:r>
          </w:p>
        </w:tc>
      </w:tr>
    </w:tbl>
    <w:p>
      <w:pPr>
        <w:spacing w:after="200" w:line="320"/>
        <w:jc w:val="both"/>
      </w:pPr>
      <w:r>
        <w:rPr>
          <w:rFonts w:ascii="Times New Roman" w:cs="Times New Roman" w:eastAsia="Times New Roman" w:hAnsi="Times New Roman"/>
          <w:i/>
          <w:iCs/>
          <w:sz w:val="18"/>
          <w:szCs w:val="18"/>
        </w:rPr>
        <w:t xml:space="preserve">Tabla A.6. DIS Score por subcaso sobre la base unificada (588 bloques, segmentación canónica de 2.000 caracteres). Casanare presenta la mayor injusticia discursiva; Catatumbo la menor.</w:t>
      </w:r>
    </w:p>
    <w:p>
      <w:pPr>
        <w:pStyle w:val="Heading2"/>
        <w:spacing w:after="120" w:before="220"/>
      </w:pPr>
      <w:r>
        <w:rPr>
          <w:rFonts w:ascii="Times New Roman" w:cs="Times New Roman" w:eastAsia="Times New Roman" w:hAnsi="Times New Roman"/>
          <w:b/>
          <w:bCs/>
          <w:sz w:val="26"/>
          <w:szCs w:val="26"/>
        </w:rPr>
        <w:t xml:space="preserve">A.6.2 El DIS agregado no distingue A de B: verificación de robustez</w:t>
      </w:r>
    </w:p>
    <w:p>
      <w:pPr>
        <w:spacing w:after="160" w:line="360" w:lineRule="auto"/>
        <w:jc w:val="both"/>
      </w:pPr>
      <w:r>
        <w:rPr>
          <w:rFonts w:ascii="Times New Roman" w:cs="Times New Roman" w:eastAsia="Times New Roman" w:hAnsi="Times New Roman"/>
          <w:sz w:val="22"/>
          <w:szCs w:val="22"/>
        </w:rPr>
        <w:t xml:space="preserve">Una propiedad central del DIS, relevante para su interpretación, es que el índice agregado no distingue significativamente la justicia ordinaria (Corpus A) de la JEP escrita (Corpus B). Esta no-diferencia se verificó bajo tres esquemas de normalización para descartar que fuera un artefacto del método: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400"/>
        <w:gridCol w:w="1300"/>
        <w:gridCol w:w="1300"/>
        <w:gridCol w:w="1900"/>
        <w:gridCol w:w="9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Esquema de normalización</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DIS 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DIS B</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p (Mann-Whitney)</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Sig.</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z-score+sigmoide sobre A+B</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0.511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0.115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n.s.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z-score+sigmoide sobre A+B+C</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0.514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0.119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n.s.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Indicadores crudos (sin normalizar)</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0.668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0.655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0.279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n.s.</w:t>
            </w:r>
          </w:p>
        </w:tc>
      </w:tr>
    </w:tbl>
    <w:p>
      <w:pPr>
        <w:spacing w:after="200" w:line="320"/>
        <w:jc w:val="both"/>
      </w:pPr>
      <w:r>
        <w:rPr>
          <w:rFonts w:ascii="Times New Roman" w:cs="Times New Roman" w:eastAsia="Times New Roman" w:hAnsi="Times New Roman"/>
          <w:i/>
          <w:iCs/>
          <w:sz w:val="18"/>
          <w:szCs w:val="18"/>
        </w:rPr>
        <w:t xml:space="preserve">Tabla A.7. DIS agregado (A vs B) bajo tres esquemas de normalización. La no-significancia se mantiene en los tres casos.</w:t>
      </w:r>
    </w:p>
    <w:p>
      <w:pPr>
        <w:spacing w:after="160" w:line="360" w:lineRule="auto"/>
        <w:jc w:val="both"/>
      </w:pPr>
      <w:r>
        <w:rPr>
          <w:rFonts w:ascii="Times New Roman" w:cs="Times New Roman" w:eastAsia="Times New Roman" w:hAnsi="Times New Roman"/>
          <w:b/>
          <w:bCs/>
          <w:sz w:val="22"/>
          <w:szCs w:val="22"/>
        </w:rPr>
        <w:t xml:space="preserve">Interpretación. </w:t>
      </w:r>
      <w:r>
        <w:rPr>
          <w:rFonts w:ascii="Times New Roman" w:cs="Times New Roman" w:eastAsia="Times New Roman" w:hAnsi="Times New Roman"/>
          <w:sz w:val="22"/>
          <w:szCs w:val="22"/>
        </w:rPr>
        <w:t xml:space="preserve">La tercera fila es concluyente: la prueba de Mann-Whitney compara rangos y es invariante ante cualquier transformación monótona (z-score, sigmoide, min-max). Que el DIS crudo arroje p=0.279 demuestra que la ausencia de diferencia es una propiedad de los datos, no del esquema de normalización. La causa es la dilución por agregación: el DIS promedia un indicador no discriminante (y₂ SA, transversal al género jurídico, p=0.934) con uno fuertemente discriminante (y₁₀ REP, p&lt;0.001), de modo que la señal del reconocimiento queda compensada por la invariancia de la supresión de agentividad. El tamaño de efecto del DIS agregado es trivial (d=0.092), frente al efecto del REP (d=0.371). El framework no descarta esta no-diferencia: la reporta como evidencia de que la transición discursiva se manifiesta a nivel de indicadores específicos y del índice epistémico (IEI), no del índice discursivo agregado.</w:t>
      </w:r>
    </w:p>
    <w:p>
      <w:r>
        <w:br w:type="page"/>
      </w:r>
    </w:p>
    <w:p>
      <w:pPr>
        <w:pStyle w:val="Heading1"/>
        <w:spacing w:after="160" w:before="280"/>
      </w:pPr>
      <w:r>
        <w:rPr>
          <w:rFonts w:ascii="Times New Roman" w:cs="Times New Roman" w:eastAsia="Times New Roman" w:hAnsi="Times New Roman"/>
          <w:b/>
          <w:bCs/>
          <w:sz w:val="30"/>
          <w:szCs w:val="30"/>
        </w:rPr>
        <w:t xml:space="preserve">A.7 Índice de Injusticia Epistémica (IEI)</w:t>
      </w:r>
    </w:p>
    <w:p>
      <w:pPr>
        <w:spacing w:after="160" w:line="360" w:lineRule="auto"/>
        <w:jc w:val="both"/>
      </w:pPr>
      <w:r>
        <w:rPr>
          <w:rFonts w:ascii="Times New Roman" w:cs="Times New Roman" w:eastAsia="Times New Roman" w:hAnsi="Times New Roman"/>
          <w:sz w:val="22"/>
          <w:szCs w:val="22"/>
        </w:rPr>
        <w:t xml:space="preserve">El IEI operacionaliza el marco de Fricker (2007). Mide la injusticia epistémica como la combinación de distancia semántica al léxico de las víctimas (y₈), distancia a estándares de derechos humanos (y₉), déficit de credibilidad léxico (y₄) y ausencia de expansión hermenéutica (1−y₁₀):</w:t>
      </w:r>
    </w:p>
    <w:p>
      <w:pPr>
        <w:spacing w:after="120" w:before="80"/>
        <w:jc w:val="center"/>
      </w:pPr>
      <w:r>
        <w:rPr>
          <w:rFonts w:ascii="Cambria Math" w:cs="Cambria Math" w:eastAsia="Cambria Math" w:hAnsi="Cambria Math"/>
          <w:i/>
          <w:iCs/>
          <w:sz w:val="24"/>
          <w:szCs w:val="24"/>
        </w:rPr>
        <w:t xml:space="preserve">IEI = 0.35·ŷ₈ + 0.20·ŷ₉ + 0.25·ŷ₄ + 0.20·(1 − ŷ₁₀)</w:t>
      </w:r>
    </w:p>
    <w:p>
      <w:pPr>
        <w:spacing w:after="160" w:line="360" w:lineRule="auto"/>
        <w:jc w:val="both"/>
      </w:pPr>
      <w:r>
        <w:rPr>
          <w:rFonts w:ascii="Times New Roman" w:cs="Times New Roman" w:eastAsia="Times New Roman" w:hAnsi="Times New Roman"/>
          <w:sz w:val="22"/>
          <w:szCs w:val="22"/>
        </w:rPr>
        <w:t xml:space="preserve">A diferencia del DIS, el IEI sí distingue significativamente la justicia ordinaria de la JEP escrita (A=0.507, B=0.430, p&lt;0.001), porque sus componentes dominantes (y₈, y₉) son justamente los que resisten el control temporal y constituyen la brecha estructural entre los sistemas.</w:t>
      </w:r>
    </w:p>
    <w:p>
      <w:pPr>
        <w:pStyle w:val="Heading2"/>
        <w:spacing w:after="120" w:before="220"/>
      </w:pPr>
      <w:r>
        <w:rPr>
          <w:rFonts w:ascii="Times New Roman" w:cs="Times New Roman" w:eastAsia="Times New Roman" w:hAnsi="Times New Roman"/>
          <w:b/>
          <w:bCs/>
          <w:sz w:val="26"/>
          <w:szCs w:val="26"/>
        </w:rPr>
        <w:t xml:space="preserve">A.7.1 Comparación DIS frente a IEI por subcaso</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1300"/>
        <w:gridCol w:w="18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Subcaso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DIS</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IEI</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Δ</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Patrón</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Casanare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0.592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0.102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DIS&gt;IEI</w:t>
            </w:r>
          </w:p>
        </w:tc>
      </w:tr>
      <w:tr>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Catatumbo</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0.417</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0.476</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0.059</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IEI&gt;DIS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Costa Caribe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0.512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0.475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0.037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DIS&gt;IEI</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Dabeiba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0.449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0.042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DIS&gt;IEI</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Huila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0.467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0.432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0.035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DIS&gt;IEI</w:t>
            </w:r>
          </w:p>
        </w:tc>
      </w:tr>
    </w:tbl>
    <w:p>
      <w:pPr>
        <w:spacing w:after="200" w:line="320"/>
        <w:jc w:val="both"/>
      </w:pPr>
      <w:r>
        <w:rPr>
          <w:rFonts w:ascii="Times New Roman" w:cs="Times New Roman" w:eastAsia="Times New Roman" w:hAnsi="Times New Roman"/>
          <w:i/>
          <w:iCs/>
          <w:sz w:val="18"/>
          <w:szCs w:val="18"/>
        </w:rPr>
        <w:t xml:space="preserve">Tabla A.8. DIS frente a IEI por subcaso (base unificada). Catatumbo (verde) es el único subcaso donde la injusticia epistémica supera a la discursiva.</w:t>
      </w:r>
    </w:p>
    <w:p>
      <w:pPr>
        <w:spacing w:after="160" w:line="360" w:lineRule="auto"/>
        <w:jc w:val="both"/>
      </w:pPr>
      <w:r>
        <w:rPr>
          <w:rFonts w:ascii="Times New Roman" w:cs="Times New Roman" w:eastAsia="Times New Roman" w:hAnsi="Times New Roman"/>
          <w:b/>
          <w:bCs/>
          <w:sz w:val="22"/>
          <w:szCs w:val="22"/>
        </w:rPr>
        <w:t xml:space="preserve">El caso de Catatumbo. </w:t>
      </w:r>
      <w:r>
        <w:rPr>
          <w:rFonts w:ascii="Times New Roman" w:cs="Times New Roman" w:eastAsia="Times New Roman" w:hAnsi="Times New Roman"/>
          <w:sz w:val="22"/>
          <w:szCs w:val="22"/>
        </w:rPr>
        <w:t xml:space="preserve">Catatumbo presenta la menor injusticia discursiva del corpus (DIS=0.417, discurso gramaticalmente directo) pero es el único subcaso donde IEI&gt;DIS (0.499&gt;0.417). El Capitán Chaparro corrige la injusticia testimonial —cede autoridad gramatical, reduce la negación de victimización— pero mantiene una injusticia hermenéutica residual: su léxico permanece el más distante del de las víctimas (y₈=0.179, el más alto del Corpus C). La disociación, modesta en magnitud (Δ=0.059), es cualitativamente única y converge con el análisis léxico-semántico de §5.14.</w:t>
      </w:r>
    </w:p>
    <w:p>
      <w:r>
        <w:br w:type="page"/>
      </w:r>
    </w:p>
    <w:p>
      <w:pPr>
        <w:pStyle w:val="Heading1"/>
        <w:spacing w:after="160" w:before="280"/>
      </w:pPr>
      <w:r>
        <w:rPr>
          <w:rFonts w:ascii="Times New Roman" w:cs="Times New Roman" w:eastAsia="Times New Roman" w:hAnsi="Times New Roman"/>
          <w:b/>
          <w:bCs/>
          <w:sz w:val="30"/>
          <w:szCs w:val="30"/>
        </w:rPr>
        <w:t xml:space="preserve">A.8 Índice de Congruencia Multimodal (ICM tri-canal)</w:t>
      </w:r>
    </w:p>
    <w:p>
      <w:pPr>
        <w:spacing w:after="160" w:line="360" w:lineRule="auto"/>
        <w:jc w:val="both"/>
      </w:pPr>
      <w:r>
        <w:rPr>
          <w:rFonts w:ascii="Times New Roman" w:cs="Times New Roman" w:eastAsia="Times New Roman" w:hAnsi="Times New Roman"/>
          <w:sz w:val="22"/>
          <w:szCs w:val="22"/>
        </w:rPr>
        <w:t xml:space="preserve">El ICM integra los tres canales comunicativos de las audiencias orales mediante ponderación explícita. A diferencia del DIS y el IEI, opera a nivel del compareciente individual y solo sobre el Corpus C:</w:t>
      </w:r>
    </w:p>
    <w:p>
      <w:pPr>
        <w:spacing w:after="120" w:before="80"/>
        <w:jc w:val="center"/>
      </w:pPr>
      <w:r>
        <w:rPr>
          <w:rFonts w:ascii="Cambria Math" w:cs="Cambria Math" w:eastAsia="Cambria Math" w:hAnsi="Cambria Math"/>
          <w:i/>
          <w:iCs/>
          <w:sz w:val="24"/>
          <w:szCs w:val="24"/>
        </w:rPr>
        <w:t xml:space="preserve">ICM = 0.40·ICM_facial + 0.40·ICM_vocal + 0.20·ICM_verbal</w:t>
      </w:r>
    </w:p>
    <w:p>
      <w:pPr>
        <w:spacing w:after="160" w:line="360" w:lineRule="auto"/>
        <w:jc w:val="both"/>
      </w:pPr>
      <w:r>
        <w:rPr>
          <w:rFonts w:ascii="Times New Roman" w:cs="Times New Roman" w:eastAsia="Times New Roman" w:hAnsi="Times New Roman"/>
          <w:sz w:val="22"/>
          <w:szCs w:val="22"/>
        </w:rPr>
        <w:t xml:space="preserve">Los pesos reflejan tres criterios: teórico (los canales no verbales son más difíciles de controlar conscientemente, Zehr 2002, por lo que pesan más); metodológico (el canal verbal es un proxy indirecto, ya capturado parcialmente en el DIS/IEI, por lo que pesa menos); y empírico (el ranking de subcasos es estable ante variaciones de los pesos, confirmado por análisis de sensibilidad). Cada canal se normaliza según su propia naturaleza (Nivel 3, A.0): facial por z-score comparativo, vocal por escala fija de literatura, verbal como proporción del discurso reparador.</w:t>
      </w:r>
    </w:p>
    <w:p>
      <w:pPr>
        <w:spacing w:after="160" w:line="360" w:lineRule="auto"/>
        <w:jc w:val="both"/>
      </w:pPr>
      <w:r>
        <w:rPr>
          <w:rFonts w:ascii="Times New Roman" w:cs="Times New Roman" w:eastAsia="Times New Roman" w:hAnsi="Times New Roman"/>
          <w:b/>
          <w:bCs/>
          <w:sz w:val="22"/>
          <w:szCs w:val="22"/>
        </w:rPr>
        <w:t xml:space="preserve">Salvaguarda epistemológica. </w:t>
      </w:r>
      <w:r>
        <w:rPr>
          <w:rFonts w:ascii="Times New Roman" w:cs="Times New Roman" w:eastAsia="Times New Roman" w:hAnsi="Times New Roman"/>
          <w:sz w:val="22"/>
          <w:szCs w:val="22"/>
        </w:rPr>
        <w:t xml:space="preserve">El ICM mide congruencia entre canales comunicativos a nivel de corpus, no sinceridad psicológica individual (Barrett et al., 2019; Crivelli y Fridlund, 2018; Camara et al., 2024). Su validación perceptual —correlación con la percepción humana de congruencia comunicativa, no de sinceridad— se plantea como línea de trabajo de mediano plazo.</w:t>
      </w:r>
    </w:p>
    <w:p>
      <w:r>
        <w:br w:type="page"/>
      </w:r>
    </w:p>
    <w:p>
      <w:pPr>
        <w:pStyle w:val="Heading1"/>
        <w:spacing w:after="160" w:before="280"/>
      </w:pPr>
      <w:r>
        <w:rPr>
          <w:rFonts w:ascii="Times New Roman" w:cs="Times New Roman" w:eastAsia="Times New Roman" w:hAnsi="Times New Roman"/>
          <w:b/>
          <w:bCs/>
          <w:sz w:val="30"/>
          <w:szCs w:val="30"/>
        </w:rPr>
        <w:t xml:space="preserve">A.9 Inferencia estadística: Mann-Whitney U</w:t>
      </w:r>
    </w:p>
    <w:p>
      <w:pPr>
        <w:spacing w:after="160" w:line="360" w:lineRule="auto"/>
        <w:jc w:val="both"/>
      </w:pPr>
      <w:r>
        <w:rPr>
          <w:rFonts w:ascii="Times New Roman" w:cs="Times New Roman" w:eastAsia="Times New Roman" w:hAnsi="Times New Roman"/>
          <w:sz w:val="22"/>
          <w:szCs w:val="22"/>
        </w:rPr>
        <w:t xml:space="preserve">Las comparaciones entre corpus se realizan con la prueba U de Mann-Whitney, no paramétrica, apropiada porque los indicadores no siguen distribución normal y el diseño es de muestras independientes. El estadístico U se aproxima a una normal para muestras grandes:</w:t>
      </w:r>
    </w:p>
    <w:p>
      <w:pPr>
        <w:spacing w:after="120" w:before="80"/>
        <w:jc w:val="center"/>
      </w:pPr>
      <w:r>
        <w:rPr>
          <w:rFonts w:ascii="Cambria Math" w:cs="Cambria Math" w:eastAsia="Cambria Math" w:hAnsi="Cambria Math"/>
          <w:i/>
          <w:iCs/>
          <w:sz w:val="24"/>
          <w:szCs w:val="24"/>
        </w:rPr>
        <w:t xml:space="preserve">Z = (U − μ_U) / σ_U,   μ_U = n₁n₂/2</w:t>
      </w:r>
    </w:p>
    <w:p>
      <w:pPr>
        <w:spacing w:after="160" w:line="360" w:lineRule="auto"/>
        <w:jc w:val="both"/>
      </w:pPr>
      <w:r>
        <w:rPr>
          <w:rFonts w:ascii="Times New Roman" w:cs="Times New Roman" w:eastAsia="Times New Roman" w:hAnsi="Times New Roman"/>
          <w:sz w:val="22"/>
          <w:szCs w:val="22"/>
        </w:rPr>
        <w:t xml:space="preserve">El tamaño del efecto se reporta como d de Cohen sobre el universo canónico (N_A=819, N_B=54). La elección de Mann-Whitney tiene una ventaja metodológica clave: al comparar rangos, es invariante ante cualquier normalización monótona, lo que permite verificar que los hallazgos no dependen del esquema de normalización (véase A.6.2).</w:t>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200"/>
        <w:gridCol w:w="1340"/>
        <w:gridCol w:w="1340"/>
        <w:gridCol w:w="1500"/>
        <w:gridCol w:w="1340"/>
        <w:gridCol w:w="10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Indicador</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B</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 Cohen</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p</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Sig.</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y₁₀ REP</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0.086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0.153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0.371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&lt;0.001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y₂ SA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0.885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0.913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0.131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0.934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n.s.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y₄ NV</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0.239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0.233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0.024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0.028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DIS</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0.514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0.092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0.119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n.s.</w:t>
            </w:r>
          </w:p>
        </w:tc>
      </w:tr>
      <w:tr>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IEI</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0.526</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0.455</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&lt;0.001</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r>
    </w:tbl>
    <w:p>
      <w:pPr>
        <w:spacing w:after="200" w:line="320"/>
        <w:jc w:val="both"/>
      </w:pPr>
      <w:r>
        <w:rPr>
          <w:rFonts w:ascii="Times New Roman" w:cs="Times New Roman" w:eastAsia="Times New Roman" w:hAnsi="Times New Roman"/>
          <w:i/>
          <w:iCs/>
          <w:sz w:val="18"/>
          <w:szCs w:val="18"/>
        </w:rPr>
        <w:t xml:space="preserve">Tabla A.9. Tamaños de efecto A vs B (N_B=54). Solo REP (entre indicadores) e IEI (entre índices) separan significativamente; el DIS agregado no.</w:t>
      </w:r>
    </w:p>
    <w:p>
      <w:pPr>
        <w:spacing w:after="160" w:line="360" w:lineRule="auto"/>
        <w:jc w:val="both"/>
      </w:pPr>
      <w:r>
        <w:rPr>
          <w:rFonts w:ascii="Times New Roman" w:cs="Times New Roman" w:eastAsia="Times New Roman" w:hAnsi="Times New Roman"/>
          <w:sz w:val="22"/>
          <w:szCs w:val="22"/>
        </w:rPr>
        <w:t xml:space="preserve">El poder estadístico para detectar un efecto d=0.30 con N_B=54 es aproximadamente 0.35 (insuficiente). Esta limitación afecta la comparación A vs B del DIS, pero no los resultados del Corpus C ni el IEI, cuyo efecto supera el umbral detectable. Se propone ampliar el Corpus B en trabajos futuros conforme se publiquen nuevos autos del Macrocaso 003.</w:t>
      </w:r>
    </w:p>
    <w:p>
      <w:r>
        <w:br w:type="page"/>
      </w:r>
    </w:p>
    <w:p>
      <w:pPr>
        <w:pStyle w:val="Heading1"/>
        <w:spacing w:after="160" w:before="280"/>
      </w:pPr>
      <w:r>
        <w:rPr>
          <w:rFonts w:ascii="Times New Roman" w:cs="Times New Roman" w:eastAsia="Times New Roman" w:hAnsi="Times New Roman"/>
          <w:b/>
          <w:bCs/>
          <w:sz w:val="30"/>
          <w:szCs w:val="30"/>
        </w:rPr>
        <w:t xml:space="preserve">A.10 Análisis de senderos y especificación SEM</w:t>
      </w:r>
    </w:p>
    <w:p>
      <w:pPr>
        <w:spacing w:after="160" w:line="360" w:lineRule="auto"/>
        <w:jc w:val="both"/>
      </w:pPr>
      <w:r>
        <w:rPr>
          <w:rFonts w:ascii="Times New Roman" w:cs="Times New Roman" w:eastAsia="Times New Roman" w:hAnsi="Times New Roman"/>
          <w:sz w:val="22"/>
          <w:szCs w:val="22"/>
        </w:rPr>
        <w:t xml:space="preserve">El análisis de senderos exploratorio modela las relaciones entre indicadores mediante regresiones estructurales estimadas por mínimos cuadrados ordinarios. El predictor más fuerte de la transición epistémica es y₃ (distancia léxico-civil): β=−5.337, p&lt;0.001. El coeficiente es grande en magnitud porque y₃ tiene varianza muy baja (rango 0.985–0.992); se interpreta como coeficiente no estandarizado.</w:t>
      </w:r>
    </w:p>
    <w:p>
      <w:pPr>
        <w:spacing w:after="120" w:before="80"/>
        <w:jc w:val="center"/>
      </w:pPr>
      <w:r>
        <w:rPr>
          <w:rFonts w:ascii="Cambria Math" w:cs="Cambria Math" w:eastAsia="Cambria Math" w:hAnsi="Cambria Math"/>
          <w:i/>
          <w:iCs/>
          <w:sz w:val="24"/>
          <w:szCs w:val="24"/>
        </w:rPr>
        <w:t xml:space="preserve">β = (XᵀX)⁻¹ Xᵀy</w:t>
      </w:r>
    </w:p>
    <w:p>
      <w:pPr>
        <w:spacing w:after="160" w:line="360" w:lineRule="auto"/>
        <w:jc w:val="both"/>
      </w:pPr>
      <w:r>
        <w:rPr>
          <w:rFonts w:ascii="Times New Roman" w:cs="Times New Roman" w:eastAsia="Times New Roman" w:hAnsi="Times New Roman"/>
          <w:sz w:val="22"/>
          <w:szCs w:val="22"/>
        </w:rPr>
        <w:t xml:space="preserve">Los índices de ajuste del modelo exploratorio (CFI=0.619, RMSEA=0.437, n=873) corresponden a un ajuste moderado, aceptable para análisis exploratorio pero no confirmatorio. El modelo SEM completo con variables latentes requiere el indicador y₇ (surprisal) para ser identificable; su estimación definitiva queda condicionada a la disponibilidad de CFH-BERT fine-tuned sobre el corpus anotado completo (κ&gt;0.80).</w:t>
      </w:r>
    </w:p>
    <w:p>
      <w:r>
        <w:br w:type="page"/>
      </w:r>
    </w:p>
    <w:p>
      <w:pPr>
        <w:pStyle w:val="Heading1"/>
        <w:spacing w:after="160" w:before="280"/>
      </w:pPr>
      <w:r>
        <w:rPr>
          <w:rFonts w:ascii="Times New Roman" w:cs="Times New Roman" w:eastAsia="Times New Roman" w:hAnsi="Times New Roman"/>
          <w:b/>
          <w:bCs/>
          <w:sz w:val="30"/>
          <w:szCs w:val="30"/>
        </w:rPr>
        <w:t xml:space="preserve">A.11 Indicadores Beach: registro léxico, verbos atributivos y evidenciales (y₁₁–y₁₃)</w:t>
      </w:r>
    </w:p>
    <w:p>
      <w:pPr>
        <w:spacing w:after="160" w:line="360" w:lineRule="auto"/>
        <w:jc w:val="both"/>
      </w:pPr>
      <w:r>
        <w:rPr>
          <w:rFonts w:ascii="Times New Roman" w:cs="Times New Roman" w:eastAsia="Times New Roman" w:hAnsi="Times New Roman"/>
          <w:sz w:val="22"/>
          <w:szCs w:val="22"/>
        </w:rPr>
        <w:t xml:space="preserve">Los indicadores de Beach et al. (2021), adaptados al español jurídico, operacionalizan la injusticia testimonial a nivel léxico-sintáctico. El más robusto es y₁₂ (verbos atributivos de baja credibilidad: «alegó», «adujo», «supuestamente»): A=0.270 frente a B=0.058, una razón de 4,6× mayor en la justicia ordinaria (p&lt;0.001). Para el Corpus C oral, y₁₁ se operacionaliza como proporción de léxico MAFAPO frente a militar, sobre dos lexicones construidos (340 términos del campo de las víctimas, 218 del campo militar).</w:t>
      </w:r>
    </w:p>
    <w:p>
      <w:pPr>
        <w:spacing w:after="160" w:line="360" w:lineRule="auto"/>
        <w:jc w:val="both"/>
      </w:pPr>
      <w:r>
        <w:rPr>
          <w:rFonts w:ascii="Times New Roman" w:cs="Times New Roman" w:eastAsia="Times New Roman" w:hAnsi="Times New Roman"/>
          <w:sz w:val="22"/>
          <w:szCs w:val="22"/>
        </w:rPr>
        <w:t xml:space="preserve">El hallazgo más sofisticado de y₁₁ es la disociación léxico-semántica de Catatumbo: prop_MAFAPO=0.736 (segundo más alto, usa el vocabulario de las víctimas en superficie) pero y₈=0.179 (el más distante semánticamente). El Capitán Chaparro adopta las palabras de las víctimas sin adoptar su estructura semántica profunda.</w:t>
      </w:r>
    </w:p>
    <w:p>
      <w:r>
        <w:br w:type="page"/>
      </w:r>
    </w:p>
    <w:p>
      <w:pPr>
        <w:pStyle w:val="Heading1"/>
        <w:spacing w:after="160" w:before="280"/>
      </w:pPr>
      <w:r>
        <w:rPr>
          <w:rFonts w:ascii="Times New Roman" w:cs="Times New Roman" w:eastAsia="Times New Roman" w:hAnsi="Times New Roman"/>
          <w:b/>
          <w:bCs/>
          <w:sz w:val="30"/>
          <w:szCs w:val="30"/>
        </w:rPr>
        <w:t xml:space="preserve">A.12 Protocolo experimental: CFH-BERT v3</w:t>
      </w:r>
    </w:p>
    <w:p>
      <w:pPr>
        <w:spacing w:after="160" w:line="360" w:lineRule="auto"/>
        <w:jc w:val="both"/>
      </w:pPr>
      <w:r>
        <w:rPr>
          <w:rFonts w:ascii="Times New Roman" w:cs="Times New Roman" w:eastAsia="Times New Roman" w:hAnsi="Times New Roman"/>
          <w:sz w:val="22"/>
          <w:szCs w:val="22"/>
        </w:rPr>
        <w:t xml:space="preserve">La versión v3 del clasificador busca elevar el F1 macro desde 0.58 (v2) hasta ≥0.70 (meta de defensa) y ≥0.85 (meta de uso institucional). El protocolo contempla ocho experimentos sobre el desbalance de clases y la escasez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Experimento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Objetivo</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NV boost (sobremuestreo 25×)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Compensar la escasez extrema de NV</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Aumentación por sinónimos</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Ampliar la variedad léxica de clases minoritarias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Back-translation</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Generar paráfrasis vía traducción ida-vuelta</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Paráfrasis por LLM</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Aumentar datos preservando la etiqueta</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Focal Loss (γ=2)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Enfocar el aprendizaje en ejemplos difíciles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Ajuste de umbral</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Optimizar el punto de decisión por clase</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Modelo combinado</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Integrar las mejores estrategias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Evaluación final</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Validar F1 sobre conjunto de prueba retenido</w:t>
            </w:r>
          </w:p>
        </w:tc>
      </w:tr>
    </w:tbl>
    <w:p>
      <w:pPr>
        <w:spacing w:after="200" w:line="320"/>
        <w:jc w:val="both"/>
      </w:pPr>
      <w:r>
        <w:rPr>
          <w:rFonts w:ascii="Times New Roman" w:cs="Times New Roman" w:eastAsia="Times New Roman" w:hAnsi="Times New Roman"/>
          <w:i/>
          <w:iCs/>
          <w:sz w:val="18"/>
          <w:szCs w:val="18"/>
        </w:rPr>
        <w:t xml:space="preserve">Tabla A.10. Protocolo de ocho experimentos para CFH-BERT v3. La meta de defensa es F1 macro ≥ 0.70.</w:t>
      </w:r>
    </w:p>
    <w:p>
      <w:pPr>
        <w:spacing w:after="160" w:line="360" w:lineRule="auto"/>
        <w:jc w:val="both"/>
      </w:pPr>
      <w:r>
        <w:rPr>
          <w:rFonts w:ascii="Times New Roman" w:cs="Times New Roman" w:eastAsia="Times New Roman" w:hAnsi="Times New Roman"/>
          <w:sz w:val="22"/>
          <w:szCs w:val="22"/>
        </w:rPr>
        <w:t xml:space="preserve">La función Focal Loss del experimento 5 generaliza la entropía cruzada ponderada añadiendo un factor que reduce el peso de los ejemplos bien clasificados:</w:t>
      </w:r>
    </w:p>
    <w:p>
      <w:pPr>
        <w:spacing w:after="120" w:before="80"/>
        <w:jc w:val="center"/>
      </w:pPr>
      <w:r>
        <w:rPr>
          <w:rFonts w:ascii="Cambria Math" w:cs="Cambria Math" w:eastAsia="Cambria Math" w:hAnsi="Cambria Math"/>
          <w:i/>
          <w:iCs/>
          <w:sz w:val="24"/>
          <w:szCs w:val="24"/>
        </w:rPr>
        <w:t xml:space="preserve">FL(p_t) = −α_t (1 − p_t)^γ log(p_t),   γ = 2</w:t>
      </w:r>
    </w:p>
    <w:p>
      <w:r>
        <w:br w:type="page"/>
      </w:r>
    </w:p>
    <w:p>
      <w:pPr>
        <w:pStyle w:val="Heading1"/>
        <w:spacing w:after="160" w:before="280"/>
      </w:pPr>
      <w:r>
        <w:rPr>
          <w:rFonts w:ascii="Times New Roman" w:cs="Times New Roman" w:eastAsia="Times New Roman" w:hAnsi="Times New Roman"/>
          <w:b/>
          <w:bCs/>
          <w:sz w:val="30"/>
          <w:szCs w:val="30"/>
        </w:rPr>
        <w:t xml:space="preserve">A.13 Síntesis cuantitativa</w:t>
      </w:r>
    </w:p>
    <w:p>
      <w:pPr>
        <w:spacing w:after="160" w:line="360" w:lineRule="auto"/>
        <w:jc w:val="both"/>
      </w:pPr>
      <w:r>
        <w:rPr>
          <w:rFonts w:ascii="Times New Roman" w:cs="Times New Roman" w:eastAsia="Times New Roman" w:hAnsi="Times New Roman"/>
          <w:sz w:val="22"/>
          <w:szCs w:val="22"/>
        </w:rPr>
        <w:t xml:space="preserve">Los hallazgos verificados del framework CFH, sobre los corpus canónicos (N_A=819, N_B=54, Corpus C de 588 bloques), se resumen así:</w:t>
      </w:r>
    </w:p>
    <w:p>
      <w:pPr>
        <w:spacing w:after="160" w:line="360" w:lineRule="auto"/>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El REP (y₁₀) es el único indicador con efecto sustantivo y significativo en la comparación A vs B (d=0.371, p&lt;0.001); la transición discursiva se manifiesta en el reconocimiento, no en la reducción del encubrimiento.</w:t>
      </w:r>
    </w:p>
    <w:p>
      <w:pPr>
        <w:spacing w:after="160" w:line="360" w:lineRule="auto"/>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El DIS agregado no distingue A de B (d=0.092, p=0.119 n.s.), por dilución de la señal del REP con la supresión de agentividad, que es transversal al género jurídico. Esta no-diferencia es robusta a tres esquemas de normalización.</w:t>
      </w:r>
    </w:p>
    <w:p>
      <w:pPr>
        <w:spacing w:after="160" w:line="360" w:lineRule="auto"/>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El IEI sí distingue A de B (p&lt;0.001): la injusticia epistémica, no la discursiva agregada, es la signatura medible de la transición.</w:t>
      </w:r>
    </w:p>
    <w:p>
      <w:pPr>
        <w:spacing w:after="160" w:line="360" w:lineRule="auto"/>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La distancia semántica al lenguaje de las víctimas (y₈, y₉) constituye una brecha estructural que resiste el control temporal.</w:t>
      </w:r>
    </w:p>
    <w:p>
      <w:pPr>
        <w:spacing w:after="160" w:line="360" w:lineRule="auto"/>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Catatumbo es el único subcaso con IEI&gt;DIS (Δ=0.059): corrige la injusticia testimonial pero mantiene la hermenéutica.</w:t>
      </w:r>
    </w:p>
    <w:p>
      <w:pPr>
        <w:spacing w:after="160" w:line="360" w:lineRule="auto"/>
        <w:jc w:val="both"/>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El CFH-BERT v2 alcanza F1 macro=0.58 (+0.31 sobre v1), con la mayor mejora en NV (+0.28) por la pérdida ponderada.</w:t>
      </w:r>
    </w:p>
    <w:p>
      <w:pPr>
        <w:spacing w:after="240" w:line="360" w:lineRule="auto"/>
        <w:jc w:val="both"/>
      </w:pPr>
      <w:r>
        <w:rPr>
          <w:rFonts w:ascii="Times New Roman" w:cs="Times New Roman" w:eastAsia="Times New Roman" w:hAnsi="Times New Roman"/>
          <w:sz w:val="22"/>
          <w:szCs w:val="22"/>
        </w:rPr>
        <w:t xml:space="preserve">Estos resultados son reproducibles a partir de los scripts del repositorio sobre los corpus canónicos declarados. La trazabilidad completa —datos, código y valores— garantiza la verificabilidad de cada cifra reportada en los capítulos 5 y 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2026-06-29T13:37:50.754Z</dcterms:created>
  <dcterms:modified xsi:type="dcterms:W3CDTF">2026-06-29T13:37:50.754Z</dcterms:modified>
</cp:coreProperties>
</file>

<file path=docProps/custom.xml><?xml version="1.0" encoding="utf-8"?>
<Properties xmlns="http://schemas.openxmlformats.org/officeDocument/2006/custom-properties" xmlns:vt="http://schemas.openxmlformats.org/officeDocument/2006/docPropsVTypes"/>
</file>