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spacing w:after="160" w:line="340"/>
        <w:jc w:val="both"/>
      </w:pPr>
      <w:r>
        <w:rPr>
          <w:sz w:val="24"/>
          <w:szCs w:val="24"/>
          <w:b/>
          <w:color w:val="0D2137"/>
        </w:rPr>
        <w:t xml:space="preserve">3.5 Injusticia epistémica, decolonialidad y extensión multimodal: el marco de Fricker y sus límites</w:t>
      </w:r>
    </w:p>
    <w:p>
      <w:pPr>
        <w:spacing w:after="160" w:line="340"/>
        <w:jc w:val="both"/>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spacing w:after="160" w:line="340"/>
        <w:jc w:val="both"/>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spacing w:after="160" w:line="340"/>
        <w:jc w:val="both"/>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spacing w:after="160" w:line="340"/>
        <w:jc w:val="both"/>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spacing w:after="160" w:line="340"/>
        <w:jc w:val="both"/>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spacing w:after="160" w:line="340"/>
        <w:jc w:val="both"/>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293 textos de voz directa de las víctimas: comunicados, declaraciones ante la JEP y testimonios en audiencias de reconocimiento—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spacing w:after="160" w:line="340"/>
        <w:jc w:val="both"/>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spacing w:after="80" w:line="340"/>
        <w:ind w:left="400" w:hanging="400"/>
        <w:jc w:val="both"/>
      </w:pPr>
      <w:r>
        <w:rPr>
          <w:sz w:val="20"/>
          <w:szCs w:val="20"/>
          <w:i/>
          <w:color w:val="2E4057"/>
        </w:rPr>
        <w:t xml:space="preserve">Boaventura de Sousa Santos, B. (2009). Una epistemología del Sur: La reinvención del conocimiento y la emancipación social. Buenos Aires: CLACSO / Siglo XXI.</w:t>
      </w:r>
    </w:p>
    <w:p>
      <w:pPr>
        <w:spacing w:after="80" w:line="340"/>
        <w:ind w:left="400" w:hanging="400"/>
        <w:jc w:val="both"/>
      </w:pPr>
      <w:r>
        <w:rPr>
          <w:sz w:val="20"/>
          <w:szCs w:val="20"/>
          <w:i/>
          <w:color w:val="2E4057"/>
        </w:rPr>
        <w:t xml:space="preserve">Castillejo-Cuéllar, A. (2016). Poética de lo Otro: Para una antropología de la guerra, la soledad y el exilio interno en Colombia. Universidad de los Andes.</w:t>
      </w:r>
    </w:p>
    <w:p>
      <w:pPr>
        <w:spacing w:after="80" w:line="340"/>
        <w:ind w:left="400" w:hanging="400"/>
        <w:jc w:val="both"/>
      </w:pPr>
      <w:r>
        <w:rPr>
          <w:sz w:val="20"/>
          <w:szCs w:val="20"/>
          <w:i/>
          <w:color w:val="2E4057"/>
        </w:rPr>
        <w:t xml:space="preserve">Dotson, K. (2011). Tracking Epistemic Violence, Tracking Practices of Silencing. Hypatia, 26(2), 236–257.</w:t>
      </w:r>
    </w:p>
    <w:p>
      <w:pPr>
        <w:spacing w:after="80" w:line="340"/>
        <w:ind w:left="400" w:hanging="400"/>
        <w:jc w:val="both"/>
      </w:pPr>
      <w:r>
        <w:rPr>
          <w:sz w:val="20"/>
          <w:szCs w:val="20"/>
          <w:i/>
          <w:color w:val="2E4057"/>
        </w:rPr>
        <w:t xml:space="preserve">Fricker, M. (2007). Epistemic Injustice: Power and the Ethics of Knowing. Oxford University Press.</w:t>
      </w:r>
    </w:p>
    <w:p>
      <w:pPr>
        <w:spacing w:after="80" w:line="340"/>
        <w:ind w:left="400" w:hanging="400"/>
        <w:jc w:val="both"/>
      </w:pPr>
      <w:r>
        <w:rPr>
          <w:sz w:val="20"/>
          <w:szCs w:val="20"/>
          <w:i/>
          <w:color w:val="2E4057"/>
        </w:rPr>
        <w:t xml:space="preserve">Fricker, M. (2017). Injusticia epistémica. Trad. Ricardo García Pérez. Barcelona: Herder. ISBN 978-84-254-3927-8</w:t>
      </w:r>
    </w:p>
    <w:p>
      <w:pPr>
        <w:spacing w:after="80" w:line="340"/>
        <w:ind w:left="400" w:hanging="400"/>
        <w:jc w:val="both"/>
      </w:pPr>
      <w:r>
        <w:rPr>
          <w:sz w:val="20"/>
          <w:szCs w:val="20"/>
          <w:i/>
          <w:color w:val="2E4057"/>
        </w:rPr>
        <w:t xml:space="preserve">Medina, J. (2013). The Epistemology of Resistance. Oxford University Press.</w:t>
      </w:r>
    </w:p>
    <w:p>
      <w:pPr>
        <w:spacing w:after="80" w:line="340"/>
        <w:ind w:left="400" w:hanging="400"/>
        <w:jc w:val="both"/>
      </w:pPr>
      <w:r>
        <w:rPr>
          <w:sz w:val="20"/>
          <w:szCs w:val="20"/>
          <w:i/>
          <w:color w:val="2E4057"/>
        </w:rPr>
        <w:t xml:space="preserve">Páez, A. y Matida, J. (2022). La injusticia epistémica en el proceso penal. Estudios de Filosofía, 65. Universidad de Antioquia.</w:t>
      </w:r>
    </w:p>
    <w:p>
      <w:pPr>
        <w:spacing w:after="80" w:line="340"/>
        <w:ind w:left="400" w:hanging="400"/>
        <w:jc w:val="both"/>
      </w:pPr>
      <w:r>
        <w:rPr>
          <w:sz w:val="20"/>
          <w:szCs w:val="20"/>
          <w:i/>
          <w:color w:val="2E4057"/>
        </w:rPr>
        <w:t xml:space="preserve">Pohlhaus, G. Jr. (2012). Relational Knowing and Epistemic Injustice. Hypatia, 27(4), 715–735.</w:t>
      </w:r>
    </w:p>
    <w:p>
      <w:pPr>
        <w:spacing w:after="80" w:line="340"/>
        <w:ind w:left="400" w:hanging="400"/>
        <w:jc w:val="both"/>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160" w:line="360" w:lineRule="auto"/>
        <w:jc w:val="both"/>
      </w:pPr>
      <w:r>
        <w:rPr>
          <w:rFonts w:ascii="Times New Roman" w:cs="Times New Roman" w:eastAsia="Times New Roman" w:hAnsi="Times New Roman"/>
          <w:sz w:val="24"/>
          <w:szCs w:val="24"/>
        </w:rPr>
        <w:t xml:space="preserve">El centroide MAFAPO (v5) se construye a partir de 293 textos de voz directa de víctimas de los falsos positivos, organizados en torno a un núcleo base y dos rondas de ampliación: (B1) 25 textos del informe MAFAPO «Unidas por la Memoria y la Verdad» (2021); (B2) un conjunto ampliado de testimonios y comunicados de organizaciones de víctimas —MAFAPO, MOVICE, Dejusticia, Colectivo Tejiendo Memorias y otras— recopilados entre 2022 y 2026; y (B3) 60 segmentos de voz directa de familiares extraídos de audiencias de reconocimiento y observaciones de víctimas del Macrocaso 003, transcritos con Whisper large-v3 y filtrados por densidad léxica de testimonio directo. Tras deduplicación, el centroide resultante integra 293 textos únicos (norma 14.28). Los segmentos de voz directa reciben un peso ponderado mayor (w=1.8) que los textos escritos (w=1.0), por constituir el acto testimonial en su contexto de enunciación original —las audiencias JEP— y por coherencia metodológica con la Capa 3 del framework, que analiza esas mismas audiencias mediante el ICM tri-canal.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Camara, M. K., Postal, A., Maul, T. H., y Paetzold, G. H. (2024). Can lies be faked? Comparing low-stakes and high-stakes deception video datasets from a Machine Learning perspective. Expert Systems with Applications, 249, 123684. https://doi.org/10.1016/j.eswa.2024.123684
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