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outlineLvl w:val="0"/>
      </w:pPr>
      <w:r>
        <w:rPr>
          <w:rFonts w:ascii="Times New Roman" w:cs="Times New Roman" w:eastAsia="Times New Roman" w:hAnsi="Times New Roman"/>
          <w:b/>
          <w:bCs/>
          <w:color w:val="0D2137"/>
          <w:sz w:val="28"/>
          <w:szCs w:val="28"/>
        </w:rPr>
        <w:t xml:space="preserve">5. Resultados</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presenta los resultados del análisis cuantitativo del corpus CFH organizados en tres capas: Capa 1 léxica (indicadores de violencia discursiva, accountability, hedging y léxico emocional), Capa 2 semántica (distancias MAFAPO/CIDH, REP Score, control temporal y análisis de senderos), y Capa 3 multimodal (diarización del Corpus C — en proceso). Los resultados de CFH-BERT v2 se presentan en §5.5.</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5.1 Descripción del corpus procesado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200"/>
        <w:gridCol w:w="1400"/>
        <w:gridCol w:w="4026"/>
      </w:tblGrid>
      <w:t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Corpus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Docs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Período</w:t>
            </w:r>
          </w:p>
        </w:tc>
        <w:tc>
          <w:tcPr>
            <w:tcW w:type="dxa" w:w="40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Fuente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520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1994–2021</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Consejo de Estado — reparación directa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A-CSJ</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~86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299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2012–2020</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Corte Suprema Sala Penal — casación</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B-JEP</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2.678</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2021–2024</w:t>
            </w:r>
          </w:p>
        </w:tc>
        <w:tc>
          <w:tcPr>
            <w:tcW w:type="dxa" w:w="40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Autos y resoluciones SRVR — Macrocaso 003 (≥200 ✓)</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C-JEP oral</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588</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2022–2024</w:t>
            </w:r>
          </w:p>
        </w:tc>
        <w:tc>
          <w:tcPr>
            <w:tcW w:type="dxa" w:w="40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Audiencias JEP — 45.9h | 1.17M chars</w:t>
            </w:r>
          </w:p>
        </w:tc>
      </w:tr>
      <w:t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300+</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4.085+</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1994–2024</w:t>
            </w:r>
          </w:p>
        </w:tc>
        <w:tc>
          <w:tcPr>
            <w:tcW w:type="dxa" w:w="40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A + B escrito + C oral</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5.1. Corpus CFH — descripción por subsistema.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5.2 Capa 1 — Indicadores léxicos</w:t>
      </w:r>
    </w:p>
    <w:p>
      <w:pPr>
        <w:pStyle w:val="Heading3"/>
        <w:spacing w:after="140" w:before="280"/>
        <w:outlineLvl w:val="2"/>
      </w:pPr>
      <w:r>
        <w:rPr>
          <w:rFonts w:ascii="Times New Roman" w:cs="Times New Roman" w:eastAsia="Times New Roman" w:hAnsi="Times New Roman"/>
          <w:b/>
          <w:bCs/>
          <w:i/>
          <w:iCs/>
          <w:color w:val="000000"/>
          <w:sz w:val="24"/>
          <w:szCs w:val="24"/>
        </w:rPr>
        <w:t xml:space="preserve">5.2.1 Accountability y persona gramatical</w:t>
      </w:r>
    </w:p>
    <w:p>
      <w:pPr>
        <w:spacing w:after="200" w:line="360" w:lineRule="auto"/>
        <w:ind w:firstLine="720"/>
        <w:jc w:val="both"/>
      </w:pPr>
      <w:r>
        <w:rPr>
          <w:rFonts w:ascii="Times New Roman" w:cs="Times New Roman" w:eastAsia="Times New Roman" w:hAnsi="Times New Roman"/>
          <w:color w:val="000000"/>
          <w:sz w:val="24"/>
          <w:szCs w:val="24"/>
        </w:rPr>
        <w:t xml:space="preserve">El accountability_score — ratio de construcciones de primera persona activa vs. pasivas/impersonales — es significativamente mayor en el Corpus B (B=0.946, A=0.907). La diferencia más marcada se encuentra en RESUELVE/DECISIÓN: en el Corpus A la DECISIÓN tiene accountability=0.864, mientras que en el Corpus B el RESUELVE alcanza 0.942. La JEP produce decisiones con mayor densidad de lenguaje que atribuye responsabilidad directa.</w:t>
      </w:r>
    </w:p>
    <w:p>
      <w:pPr>
        <w:pStyle w:val="Heading3"/>
        <w:spacing w:after="140" w:before="280"/>
        <w:outlineLvl w:val="2"/>
      </w:pPr>
      <w:r>
        <w:rPr>
          <w:rFonts w:ascii="Times New Roman" w:cs="Times New Roman" w:eastAsia="Times New Roman" w:hAnsi="Times New Roman"/>
          <w:b/>
          <w:bCs/>
          <w:i/>
          <w:iCs/>
          <w:color w:val="000000"/>
          <w:sz w:val="24"/>
          <w:szCs w:val="24"/>
        </w:rPr>
        <w:t xml:space="preserve">5.2.2 Hedging — evasión epistémica</w:t>
      </w:r>
    </w:p>
    <w:p>
      <w:pPr>
        <w:spacing w:after="200" w:line="360" w:lineRule="auto"/>
        <w:ind w:firstLine="720"/>
        <w:jc w:val="both"/>
      </w:pPr>
      <w:r>
        <w:rPr>
          <w:rFonts w:ascii="Times New Roman" w:cs="Times New Roman" w:eastAsia="Times New Roman" w:hAnsi="Times New Roman"/>
          <w:color w:val="000000"/>
          <w:sz w:val="24"/>
          <w:szCs w:val="24"/>
        </w:rPr>
        <w:t xml:space="preserve">El hedging_density — marcadores de evasión epistémica por 100 palabras — es A=0.061 vs B=0.054. Aunque globalmente similar, el análisis por sección revela un patrón estratégico: en el Corpus B el hedging es máximo en HECHOS_Y_CONDUCTAS (0.132) y mínimo en RECONOCIMIENTO (0.082). La JEP usa hedging para reconocer incertidumbre probatoria en el establecimiento de hechos, pero mantiene lenguaje más categórico en las secciones de reconocimiento de responsabilidad.</w:t>
      </w:r>
    </w:p>
    <w:p>
      <w:pPr>
        <w:pStyle w:val="Heading3"/>
        <w:spacing w:after="140" w:before="280"/>
        <w:outlineLvl w:val="2"/>
      </w:pPr>
      <w:r>
        <w:rPr>
          <w:rFonts w:ascii="Times New Roman" w:cs="Times New Roman" w:eastAsia="Times New Roman" w:hAnsi="Times New Roman"/>
          <w:b/>
          <w:bCs/>
          <w:i/>
          <w:iCs/>
          <w:color w:val="000000"/>
          <w:sz w:val="24"/>
          <w:szCs w:val="24"/>
        </w:rPr>
        <w:t xml:space="preserve">5.2.3 Léxico emocional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500"/>
        <w:gridCol w:w="2726"/>
      </w:tblGrid>
      <w:tr>
        <w:tc>
          <w:tcPr>
            <w:tcW w:type="dxa" w:w="2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Dimensión emocional</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Dirección</w:t>
            </w:r>
          </w:p>
        </w:tc>
        <w:tc>
          <w:tcPr>
            <w:tcW w:type="dxa" w:w="27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 CFH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Culpa / responsabilidad</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0.275</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 &gt; A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JEP nombra más la responsabilidad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Tristeza / sufrimiento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0.455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describe el sufrimiento; B lo procesa</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Ira / confrontación</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0.122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0.018</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&gt;&gt; B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confrontacional; B restaurativo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Confianza / derecho / garantía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1.887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1.121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invoca principios jurídicos genéricos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Violencia institucional (eufemismos)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0.098</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0.071</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usa más eufemismos militares</w:t>
            </w:r>
          </w:p>
        </w:tc>
      </w:tr>
      <w:tr>
        <w:tc>
          <w:tcPr>
            <w:tcW w:type="dxa" w:w="2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Balance víctimas (índice compuesto)</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0.569</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0.656</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B &gt; A ✓✓</w:t>
            </w:r>
          </w:p>
        </w:tc>
        <w:tc>
          <w:tcPr>
            <w:tcW w:type="dxa" w:w="27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JEP más orientada al lenguaje de las víctimas</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5.2. Léxico emocional Corpus A vs B — 6 dimensiones. Lexicón NRC adaptado al español judicial.</w:t>
      </w:r>
    </w:p>
    <w:p>
      <w:pPr>
        <w:spacing w:after="200" w:line="360" w:lineRule="auto"/>
        <w:ind w:firstLine="720"/>
        <w:jc w:val="both"/>
      </w:pPr>
      <w:r>
        <w:rPr>
          <w:rFonts w:ascii="Times New Roman" w:cs="Times New Roman" w:eastAsia="Times New Roman" w:hAnsi="Times New Roman"/>
          <w:color w:val="000000"/>
          <w:sz w:val="24"/>
          <w:szCs w:val="24"/>
        </w:rPr>
        <w:t xml:space="preserve">El balance_victimas (B=0.656 vs A=0.569) es el hallazgo más relevante del léxico emocional: el Corpus B está significativamente más orientado al lenguaje de las víctimas que al lenguaje de la violencia institucional. La diferencia más marcada es en ira (A=0.122 vs B=0.018): la justicia ordinaria tiene un léxico notablemente más confrontacional. El léxico de culpa es el único donde B supera a A (0.275 vs 0.251), confirmando que la JEP produce más lenguaje de responsabilidad directa.</w:t>
      </w:r>
    </w:p>
    <w:p>
      <w:pPr>
        <w:pStyle w:val="Heading3"/>
        <w:spacing w:after="140" w:before="280"/>
        <w:outlineLvl w:val="2"/>
      </w:pPr>
      <w:r>
        <w:rPr>
          <w:rFonts w:ascii="Times New Roman" w:cs="Times New Roman" w:eastAsia="Times New Roman" w:hAnsi="Times New Roman"/>
          <w:b/>
          <w:bCs/>
          <w:i/>
          <w:iCs/>
          <w:color w:val="000000"/>
          <w:sz w:val="24"/>
          <w:szCs w:val="24"/>
        </w:rPr>
        <w:t xml:space="preserve">5.2.4 SA Score (y₂) y NV Score (y₄)</w:t>
      </w:r>
    </w:p>
    <w:p>
      <w:pPr>
        <w:spacing w:after="200" w:line="360" w:lineRule="auto"/>
        <w:ind w:firstLine="720"/>
        <w:jc w:val="both"/>
      </w:pPr>
      <w:r>
        <w:rPr>
          <w:rFonts w:ascii="Times New Roman" w:cs="Times New Roman" w:eastAsia="Times New Roman" w:hAnsi="Times New Roman"/>
          <w:color w:val="000000"/>
          <w:sz w:val="24"/>
          <w:szCs w:val="24"/>
        </w:rPr>
        <w:t xml:space="preserve">El SA Score no difiere significativamente entre los dos sistemas (A=0.885, B=0.913, p=0.934 n.s.) — es transversal al lenguaje jurídico-institucional colombiano. El NV Score es ligeramente mayor en el Corpus A (A=0.239, B=0.233, p=0.028 *). La correlación entre NV y REP es r=−0.082 — operan en dimensiones independientes. Esta independencia es metodológicamente relevante: el coeficiente positivo de y₄ NV sobre y₁₀ REP en el path analysis (β=+0.058, p=0.004) revela que la coexistencia de NV y REP en los mismos segmentos no es paradójica sino estructural — el Corpus B cita el vocabulario NV original para refutarlo mediante metalenguaje citativo, lo que produce la correlación negativa observada entre los componentes del DIS.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5.3 Capa 2 — REP Score (y₁₀)</w:t>
      </w:r>
    </w:p>
    <w:p>
      <w:pPr>
        <w:spacing w:after="200" w:line="360" w:lineRule="auto"/>
        <w:ind w:firstLine="720"/>
        <w:jc w:val="both"/>
      </w:pPr>
      <w:r>
        <w:rPr>
          <w:rFonts w:ascii="Times New Roman" w:cs="Times New Roman" w:eastAsia="Times New Roman" w:hAnsi="Times New Roman"/>
          <w:color w:val="000000"/>
          <w:sz w:val="24"/>
          <w:szCs w:val="24"/>
        </w:rPr>
        <w:t xml:space="preserve">El REP Score del Corpus B (media=0.153) es significativamente mayor que el del Corpus A (media=0.086), con una brecha de +0.067 y p&lt;0.001 (***). La sección RECONOCIMIENTO del Corpus B presenta el REP más alto (media=0.191, máx=0.849). La sección PATRONES_MACROCRIMINALES tiene REP=0.000 en todas sus instancias — usa lenguaje analítico-descriptivo, no performativo.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5.4 Capa 2 — Distancias semánticas y₈ y y₉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1100"/>
        <w:gridCol w:w="1200"/>
        <w:gridCol w:w="1000"/>
        <w:gridCol w:w="11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C</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 A vs B</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 A vs C</w:t>
            </w:r>
          </w:p>
        </w:tc>
        <w:tc>
          <w:tcPr>
            <w:tcW w:type="dxa" w:w="11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Dirección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 (↓=más cercano)</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0.161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p=0.0004 ***</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p&lt;0.001 ***</w:t>
            </w:r>
          </w:p>
        </w:tc>
        <w:tc>
          <w:tcPr>
            <w:tcW w:type="dxa" w:w="1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 &lt; B &lt;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 (↓=más cercano)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0.254</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0.263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 &lt; A &lt; C</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5.3. Distancias semánticas y₈ y y₉ — ConfliBERT-Spanish. *** p&lt;0.001.</w:t>
      </w:r>
    </w:p>
    <w:p>
      <w:pPr>
        <w:spacing w:after="200" w:line="360" w:lineRule="auto"/>
        <w:ind w:firstLine="720"/>
        <w:jc w:val="both"/>
      </w:pPr>
      <w:r>
        <w:rPr>
          <w:rFonts w:ascii="Times New Roman" w:cs="Times New Roman" w:eastAsia="Times New Roman" w:hAnsi="Times New Roman"/>
          <w:color w:val="000000"/>
          <w:sz w:val="24"/>
          <w:szCs w:val="24"/>
        </w:rPr>
        <w:t xml:space="preserve">El Corpus C (JEP oral, y₈=0.161) está incluso más cercano al lenguaje de MAFAPO que el Corpus B escrito (y₈=0.191). Para y₉ CIDH, el Corpus C oral (0.263) es más alejado que el Corpus A (0.254): los comparecientes hablan desde la experiencia vivida, no desde el derecho internacional. Eso es teóricamente coherente con Zehr (2002).</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5.5 CFH-BERT v2 — clasificador IO con weighted loss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100"/>
        <w:gridCol w:w="1100"/>
        <w:gridCol w:w="12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Versión</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macro</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REP</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EBI</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SA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NV</w:t>
            </w:r>
          </w:p>
        </w:tc>
        <w:tc>
          <w:tcPr>
            <w:tcW w:type="dxa" w:w="1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Acc.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v1 (BIO, 9 clases)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0.71</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0.47</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0.48</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0.04</w:t>
            </w:r>
          </w:p>
        </w:tc>
        <w:tc>
          <w:tcPr>
            <w:tcW w:type="dxa" w:w="1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0.68</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v2 (IO, 5 clases)</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0.58</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0.77</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0.32</w:t>
            </w:r>
          </w:p>
        </w:tc>
        <w:tc>
          <w:tcPr>
            <w:tcW w:type="dxa" w:w="1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0.73</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Δ (v2−v1)</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+0.31</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+0.06</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+0.05</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+0.04</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+0.28</w:t>
            </w:r>
          </w:p>
        </w:tc>
        <w:tc>
          <w:tcPr>
            <w:tcW w:type="dxa" w:w="1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+0.05</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5.4. CFH-BERT v1 vs v2. n=100 anotaciones. Mejora más significativa en NV (+0.28) por weighted loss.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5.6 Brecha discursiva — evidencia integrada A vs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1200"/>
        <w:gridCol w:w="1100"/>
        <w:gridCol w:w="23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Capa</w:t>
            </w:r>
          </w:p>
        </w:tc>
        <w:tc>
          <w:tcPr>
            <w:tcW w:type="dxa" w:w="2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Dirección</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Accountability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0.907</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0.946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Ira / confrontación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0.122</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&gt;&gt; B ✓ (B más restaurativo)</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Balance víctimas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0.569</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0.656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y₄ NV Score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0.239</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0.028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&gt; B ✓</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0.086</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0.153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Dist. léxico civil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0.990</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0.987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0.211</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p=0.0004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0.254</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y₂ SA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0.885</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0.913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0.934 n.s.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transversal al género jurídico</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5.5. Evidencia integrada A vs B — 9 indicadores CFH Capas 1 y 2. * p&lt;0.05  *** p&lt;0.001  n.s. no significativo.</w:t>
      </w:r>
    </w:p>
    <w:p>
      <w:pPr>
        <w:spacing w:after="200" w:line="360" w:lineRule="auto"/>
        <w:jc w:val="both"/>
      </w:pPr>
      <w:r>
        <w:rPr>
          <w:rFonts w:ascii="Times New Roman" w:cs="Times New Roman" w:eastAsia="Times New Roman" w:hAnsi="Times New Roman"/>
          <w:sz w:val="24"/>
          <w:szCs w:val="24"/>
        </w:rPr>
        <w:t xml:space="preserve">El tamaño de efecto (Cohen's d), calculado sobre el Corpus B canónico (N_B=54 secciones, N_A=819), precisa la naturaleza de la brecha discursiva: la Ruptura Epistémica Positiva (y₁₀ REP) es el único indicador con un efecto sustantivo y significativo (d=0.371, p&lt;0.001). El resto de indicadores presenta efectos pequeños: y₂ SA (d=0.131, p=0.934 n.s.), transversal al género jurídico, e y₄ NV (d=0.024, p=0.028). El DIS Score agregado, al promediar estos indicadores heterogéneos, presenta un efecto trivial (d=0.092, p=0.119 n.s.) — no distingue significativamente la justicia ordinaria de la JEP escrita. Según la escala de Cohen (1988), solo el efecto del REP es interpretable como pequeño-mediano; el del índice agregado es despreciable, lo que confirma que la transición discursiva se manifiesta a nivel del indicador de reconocimiento (y₁₀) y no como un desplazamiento del índice compuesto, en línea con el análisis detallado de §5.13.1.</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5.7 Control temporal y análisis de senderos</w:t>
      </w:r>
    </w:p>
    <w:p>
      <w:pPr>
        <w:pStyle w:val="Heading3"/>
        <w:spacing w:after="140" w:before="280"/>
        <w:outlineLvl w:val="2"/>
      </w:pPr>
      <w:r>
        <w:rPr>
          <w:rFonts w:ascii="Times New Roman" w:cs="Times New Roman" w:eastAsia="Times New Roman" w:hAnsi="Times New Roman"/>
          <w:b/>
          <w:bCs/>
          <w:i/>
          <w:iCs/>
          <w:color w:val="000000"/>
          <w:sz w:val="24"/>
          <w:szCs w:val="24"/>
        </w:rPr>
        <w:t xml:space="preserve">5.7.1 Control temporal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26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 2018-2023</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2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Score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0.147</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0.153</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0.139 n.s.</w:t>
            </w:r>
          </w:p>
        </w:tc>
        <w:tc>
          <w:tcPr>
            <w:tcW w:type="dxa" w:w="2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Brecha parcialmente temporal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y₄ NV Score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0.293 n.s.</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Brecha parcialmente temporal</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0.217</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p=0.001 ***</w:t>
            </w:r>
          </w:p>
        </w:tc>
        <w:tc>
          <w:tcPr>
            <w:tcW w:type="dxa" w:w="2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Brecha ESTRUCTURAL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0.261</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Brecha ESTRUCTURAL ✓</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5.6. Control temporal — A 2018-2023 vs B.</w:t>
      </w:r>
    </w:p>
    <w:p>
      <w:pPr>
        <w:pStyle w:val="Heading3"/>
        <w:spacing w:after="140" w:before="280"/>
        <w:outlineLvl w:val="2"/>
      </w:pPr>
      <w:r>
        <w:rPr>
          <w:rFonts w:ascii="Times New Roman" w:cs="Times New Roman" w:eastAsia="Times New Roman" w:hAnsi="Times New Roman"/>
          <w:b/>
          <w:bCs/>
          <w:i/>
          <w:iCs/>
          <w:color w:val="000000"/>
          <w:sz w:val="24"/>
          <w:szCs w:val="24"/>
        </w:rPr>
        <w:t xml:space="preserve">5.7.2 Análisis de senderos exploratorio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400"/>
        <w:gridCol w:w="2426"/>
      </w:tblGrid>
      <w:tr>
        <w:tc>
          <w:tcPr>
            <w:tcW w:type="dxa" w:w="2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Path</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β</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Sig.</w:t>
            </w:r>
          </w:p>
        </w:tc>
        <w:tc>
          <w:tcPr>
            <w:tcW w:type="dxa" w:w="24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w:t>
            </w:r>
          </w:p>
        </w:tc>
      </w:tr>
      <w:tr>
        <w:tc>
          <w:tcPr>
            <w:tcW w:type="dxa" w:w="2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y₁₀ REP ← y₃ civil</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−5.337</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Predictor más fuerte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 y₂ SA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SA coexiste con REP en JEP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 y₄ NV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+0.058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NV coexiste con REP en Corpus B</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MAFAPO ← y₃ civil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−0.836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predice cercanía a MAFAPO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CIDH ← y₃ civil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−0.489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predice cercanía a la CIDH</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5.7. Path analysis exploratorio — CFI=0.619, RMSEA=0.437, n=873.</w:t>
      </w:r>
    </w:p>
    <w:p>
      <w:pPr>
        <w:spacing w:after="200" w:line="360" w:lineRule="auto"/>
        <w:ind w:firstLine="720"/>
        <w:jc w:val="both"/>
      </w:pPr>
      <w:r>
        <w:rPr>
          <w:rFonts w:ascii="Times New Roman" w:cs="Times New Roman" w:eastAsia="Times New Roman" w:hAnsi="Times New Roman"/>
          <w:color w:val="000000"/>
          <w:sz w:val="24"/>
          <w:szCs w:val="24"/>
        </w:rPr>
        <w:t xml:space="preserve">El predictor más fuerte de la transición epistémica es y₃ distancia léxico-civil (β=−5.337, p&lt;0.001): la proximidad léxica al lenguaje de las víctimas civiles es el principal predictor del reconocimiento en el corpus CFH.</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5.8 Capa 3 — Diarización y análisis semántico Corpus 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000"/>
        <w:gridCol w:w="1000"/>
        <w:gridCol w:w="1200"/>
        <w:gridCol w:w="1200"/>
        <w:gridCol w:w="16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Dur.</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Chars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Segmentos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y₈ MAFAPO</w:t>
            </w:r>
          </w:p>
        </w:tc>
        <w:tc>
          <w:tcPr>
            <w:tcW w:type="dxa" w:w="1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y₉ CIDH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115K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4.535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0.179</w:t>
            </w:r>
          </w:p>
        </w:tc>
        <w:tc>
          <w:tcPr>
            <w:tcW w:type="dxa" w:w="1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0.271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Costa Caribe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255K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~2.659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0.165</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0.259</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Torres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5.3h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248K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1.389</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0.160</w:t>
            </w:r>
          </w:p>
        </w:tc>
        <w:tc>
          <w:tcPr>
            <w:tcW w:type="dxa" w:w="1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 — Antioquia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2.3h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287K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144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1.809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0.158</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0.262</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6.281</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0.154</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0.263</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C</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38.1h</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1.17M</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588</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~16.673</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0.161</w:t>
            </w:r>
          </w:p>
        </w:tc>
        <w:tc>
          <w:tcPr>
            <w:tcW w:type="dxa" w:w="1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0.263</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5.9. Corpus C — resultados por subcaso. y₈ y y₉ calculados con ConfliBERT-Spanish sobre 588 bloques. Verde = subcasos más cercanos a las víctimas.</w:t>
      </w:r>
    </w:p>
    <w:p>
      <w:pPr>
        <w:spacing w:after="200" w:line="360" w:lineRule="auto"/>
        <w:ind w:firstLine="720"/>
        <w:jc w:val="both"/>
      </w:pPr>
      <w:r>
        <w:rPr>
          <w:rFonts w:ascii="Times New Roman" w:cs="Times New Roman" w:eastAsia="Times New Roman" w:hAnsi="Times New Roman"/>
          <w:color w:val="000000"/>
          <w:sz w:val="24"/>
          <w:szCs w:val="24"/>
        </w:rPr>
        <w:t xml:space="preserve">El análisis semántico del Corpus C revela diferencias importantes entre subcasos. Huila (y₈=0.154) y Dabeiba (y₈=0.158) son los subcasos más cercanos semánticamente al lenguaje de las víctimas de MAFAPO, mientras que Catatumbo (y₈=0.179) es el más distante — coincidentemente el subcaso con mayor porcentaje de silencio en el audio (gaps en minutos 240-330). La media del Corpus C (y₈=0.161) es incluso menor que la del Corpus B escrito (0.191), lo que indica que el lenguaje oral de las audiencias JEP está, en promedio, aún más cercano al léxico de las víctimas que el lenguaje escrito formal. Para y₉ CIDH, todos los subcasos están más alejados que el Corpus B escrito (0.235), lo que es teóricamente coherente: los comparecientes hablan desde la experiencia vivida, no desde el lenguaje técnico-jurídico del derecho internacional humanitario.</w:t>
      </w:r>
    </w:p>
    <w:p>
      <w:pPr>
        <w:spacing w:after="120"/>
      </w:pPr>
      <w:r>
        <w:rPr>
          <w:rFonts w:ascii="Times New Roman" w:cs="Times New Roman" w:eastAsia="Times New Roman" w:hAnsi="Times New Roman"/>
          <w:color w:val="000000"/>
          <w:sz w:val="24"/>
          <w:szCs w:val="24"/>
        </w:rPr>
        <w:t xml:space="preserve"/>
      </w:r>
    </w:p>
    <w:p>
      <w:pPr>
        <w:pStyle w:val="Heading2"/>
        <w:spacing w:before="240" w:after="120"/>
      </w:pPr>
      <w:r>
        <w:rPr>
          <w:rFonts w:ascii="Times New Roman" w:cs="Times New Roman" w:eastAsia="Times New Roman" w:hAnsi="Times New Roman"/>
          <w:b/>
          <w:sz w:val="26"/>
          <w:szCs w:val="26"/>
        </w:rPr>
        <w:t xml:space="preserve">5.9 Capa 3 — Canal facial: composición del distress y normalización</w:t>
      </w:r>
    </w:p>
    <w:p>
      <w:pPr>
        <w:spacing w:after="200" w:line="360" w:lineRule="auto"/>
        <w:jc w:val="both"/>
      </w:pPr>
      <w:r>
        <w:rPr>
          <w:rFonts w:ascii="Times New Roman" w:cs="Times New Roman" w:eastAsia="Times New Roman" w:hAnsi="Times New Roman"/>
          <w:b/>
          <w:sz w:val="24"/>
          <w:szCs w:val="24"/>
        </w:rPr>
        <w:t xml:space="preserve">Extracción y atribución. </w:t>
      </w:r>
      <w:r>
        <w:rPr>
          <w:rFonts w:ascii="Times New Roman" w:cs="Times New Roman" w:eastAsia="Times New Roman" w:hAnsi="Times New Roman"/>
          <w:sz w:val="24"/>
          <w:szCs w:val="24"/>
        </w:rPr>
        <w:t xml:space="preserve">La Capa 3 multimodal del framework CFH extrae Action Units (AUs) faciales de los comparecientes en las audiencias de reconocimiento mediante MediaPipe FaceLandmarker, de manera homogénea en los cinco subcasos del Corpus C. La atribución de los segmentos faciales a cada compareciente se ancla en la marcación temporal verificada de su intervención —a partir de los letreros de identificación en pantalla de la JEP—, lo que garantiza una asignación de identidad auditable e independiente de la diarización automática. La unidad de análisis es el compareciente individual: cada uno recibe un valor de distress facial propio, calculado sobre sus frames válidos.</w:t>
      </w:r>
    </w:p>
    <w:p>
      <w:pPr>
        <w:spacing w:after="200" w:line="360" w:lineRule="auto"/>
        <w:jc w:val="both"/>
      </w:pPr>
      <w:r>
        <w:rPr>
          <w:rFonts w:ascii="Times New Roman" w:cs="Times New Roman" w:eastAsia="Times New Roman" w:hAnsi="Times New Roman"/>
          <w:b/>
          <w:sz w:val="24"/>
          <w:szCs w:val="24"/>
        </w:rPr>
        <w:t xml:space="preserve">Composición del distress. </w:t>
      </w:r>
      <w:r>
        <w:rPr>
          <w:rFonts w:ascii="Times New Roman" w:cs="Times New Roman" w:eastAsia="Times New Roman" w:hAnsi="Times New Roman"/>
          <w:sz w:val="24"/>
          <w:szCs w:val="24"/>
        </w:rPr>
        <w:t xml:space="preserve">El componente de distress facial se opera con las cuatro Action Units de la expresión prototípica de tristeza del sistema FACS (Ekman, Friesen y Hager, 2002): AU1 (ceja interna elevada), AU4 (ceño), AU15 (comisuras hacia abajo) y AU17 (mentón). El análisis de la contribución de cada AU sobre 51.220 frames del corpus permite caracterizar con precisión cómo se compone esta señal, y arroja un hallazgo metodológico de interés para el análisis facial en contextos de habla continua.</w:t>
      </w:r>
    </w:p>
    <w:tbl>
      <w:tblPr>
        <w:tblW w:w="8800" w:type="dxa"/>
        <w:tblBorders>
          <w:top w:val="single" w:sz="4" w:color="BBBBBB"/>
          <w:left w:val="single" w:sz="4" w:color="BBBBBB"/>
          <w:bottom w:val="single" w:sz="4" w:color="BBBBBB"/>
          <w:right w:val="single" w:sz="4" w:color="BBBBBB"/>
          <w:insideH w:val="single" w:sz="4" w:color="BBBBBB"/>
          <w:insideV w:val="single" w:sz="4" w:color="BBBBBB"/>
        </w:tblBorders>
        <w:tblLook w:val="04A0"/>
      </w:tblPr>
      <w:tblGrid>
        <w:gridCol w:w="1400"/>
        <w:gridCol w:w="3400"/>
        <w:gridCol w:w="2400"/>
        <w:gridCol w:w="1600"/>
      </w:tblGrid>
      <w:tr>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left"/>
            </w:pPr>
            <w:r>
              <w:rPr>
                <w:rFonts w:ascii="Times New Roman" w:cs="Times New Roman" w:eastAsia="Times New Roman" w:hAnsi="Times New Roman"/>
                <w:b/>
                <w:sz w:val="18"/>
                <w:szCs w:val="18"/>
              </w:rPr>
              <w:t xml:space="preserve">Action Unit</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left"/>
            </w:pPr>
            <w:r>
              <w:rPr>
                <w:rFonts w:ascii="Times New Roman" w:cs="Times New Roman" w:eastAsia="Times New Roman" w:hAnsi="Times New Roman"/>
                <w:b/>
                <w:sz w:val="18"/>
                <w:szCs w:val="18"/>
              </w:rPr>
              <w:t xml:space="preserve">Descriptor FACS</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Contribución al distress</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Correlación (r)</w:t>
            </w:r>
          </w:p>
        </w:tc>
      </w:tr>
      <w:tr>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b/>
                <w:sz w:val="18"/>
                <w:szCs w:val="18"/>
              </w:rPr>
              <w:t xml:space="preserve">AU4</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left"/>
            </w:pPr>
            <w:r>
              <w:rPr>
                <w:rFonts w:ascii="Times New Roman" w:cs="Times New Roman" w:eastAsia="Times New Roman" w:hAnsi="Times New Roman"/>
                <w:sz w:val="18"/>
                <w:szCs w:val="18"/>
              </w:rPr>
              <w:t xml:space="preserve">Ceño (brow lowerer)</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sz w:val="18"/>
                <w:szCs w:val="18"/>
              </w:rPr>
              <w:t xml:space="preserve">52%</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sz w:val="18"/>
                <w:szCs w:val="18"/>
              </w:rPr>
              <w:t xml:space="preserve">0.524</w:t>
            </w:r>
          </w:p>
        </w:tc>
      </w:tr>
      <w:tr>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8"/>
                <w:szCs w:val="18"/>
              </w:rPr>
              <w:t xml:space="preserve">AU1</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Ceja interna elevada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24%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0.260</w:t>
            </w:r>
          </w:p>
        </w:tc>
      </w:tr>
      <w:tr>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8"/>
                <w:szCs w:val="18"/>
              </w:rPr>
              <w:t xml:space="preserve">AU17</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Mentón (chin raiser)</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23%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0.691</w:t>
            </w:r>
          </w:p>
        </w:tc>
      </w:tr>
      <w:tr>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8"/>
                <w:szCs w:val="18"/>
              </w:rPr>
              <w:t xml:space="preserve">AU15</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Comisuras hacia abajo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0.092</w:t>
            </w:r>
          </w:p>
        </w:tc>
      </w:tr>
    </w:tbl>
    <w:p>
      <w:pPr>
        <w:spacing w:after="160" w:line="360" w:lineRule="auto"/>
        <w:jc w:val="both"/>
      </w:pPr>
      <w:r>
        <w:rPr>
          <w:rFonts w:ascii="Times New Roman" w:cs="Times New Roman" w:eastAsia="Times New Roman" w:hAnsi="Times New Roman"/>
          <w:i/>
          <w:sz w:val="20"/>
          <w:szCs w:val="20"/>
        </w:rPr>
        <w:t xml:space="preserve">Tabla 5.9. Composición del distress facial por Action Unit (51.220 frames, Corpus C). AU4 (ceño) es el contribuyente dominante; AU1 y AU17 aportan sustancialmente; AU15 es marginal. La correlación es la del AU con el distress agregado de las cuatro unidades.</w:t>
      </w:r>
    </w:p>
    <w:p>
      <w:pPr>
        <w:spacing w:after="200" w:line="360" w:lineRule="auto"/>
        <w:jc w:val="both"/>
      </w:pPr>
      <w:r>
        <w:rPr>
          <w:rFonts w:ascii="Times New Roman" w:cs="Times New Roman" w:eastAsia="Times New Roman" w:hAnsi="Times New Roman"/>
          <w:b/>
          <w:sz w:val="24"/>
          <w:szCs w:val="24"/>
        </w:rPr>
        <w:t xml:space="preserve">Supresión de AUs bucales por el habla. </w:t>
      </w:r>
      <w:r>
        <w:rPr>
          <w:rFonts w:ascii="Times New Roman" w:cs="Times New Roman" w:eastAsia="Times New Roman" w:hAnsi="Times New Roman"/>
          <w:sz w:val="24"/>
          <w:szCs w:val="24"/>
        </w:rPr>
        <w:t xml:space="preserve">AU4 (ceño) es el contribuyente dominante del distress (52%), seguido de AU1 (24%) y AU17 (23%); AU15 aporta de forma marginal (2%). Un hallazgo adicional refina la interpretación del canal facial en este corpus: las Action Units de la región bucal muestran supresión sistemática durante el habla. AU17 desciende cerca del 80% en los frames de habla activa frente a los frames de boca en reposo, y AU15 —ya de por sí de baja magnitud— se atenúa de forma análoga. Esto es coherente con la literatura sobre la interferencia del habla en la codificación facial: el movimiento articulatorio enmascara las AUs bucales. AU4, situada en la región frontal e independiente del aparato fonador, resulta por ello el indicador de distress más estable en audiencias donde los comparecientes hablan de forma continua. Este comportamiento se documenta como característica metodológica del análisis facial en contextos forenses orales, no como deficiencia de la medición.</w:t>
      </w:r>
    </w:p>
    <w:p>
      <w:pPr>
        <w:spacing w:after="200" w:line="360" w:lineRule="auto"/>
        <w:jc w:val="both"/>
      </w:pPr>
      <w:r>
        <w:rPr>
          <w:rFonts w:ascii="Times New Roman" w:cs="Times New Roman" w:eastAsia="Times New Roman" w:hAnsi="Times New Roman"/>
          <w:b/>
          <w:sz w:val="24"/>
          <w:szCs w:val="24"/>
        </w:rPr>
        <w:t xml:space="preserve">Normalización comparativa. </w:t>
      </w:r>
      <w:r>
        <w:rPr>
          <w:rFonts w:ascii="Times New Roman" w:cs="Times New Roman" w:eastAsia="Times New Roman" w:hAnsi="Times New Roman"/>
          <w:sz w:val="24"/>
          <w:szCs w:val="24"/>
        </w:rPr>
        <w:t xml:space="preserve">El canal facial se normaliza mediante z-score sobre la distribución del corpus (media μ=0.1024 y desviación estándar σ=0.0369, congeladas como constantes de calibración), mapeado al rango [0,1]. Esta elección responde a la naturaleza comparativa de los Action Units: conforme a Barrett et al. (2019), la intensidad absoluta de las configuraciones faciales no es directamente interpretable, por lo que la expresión facial se evalúa de forma relativa entre individuos. La normalización z-score preserva el poder discriminativo del canal en todo el rango sin saturar artificialmente a ningún compareciente, y la calibración fija asegura reproducibilidad: la incorporación de comparecientes adicionales no recalcula la escala.</w:t>
      </w:r>
    </w:p>
    <w:p>
      <w:pPr>
        <w:spacing w:after="200" w:line="360" w:lineRule="auto"/>
        <w:jc w:val="both"/>
      </w:pPr>
      <w:r>
        <w:rPr>
          <w:rFonts w:ascii="Times New Roman" w:cs="Times New Roman" w:eastAsia="Times New Roman" w:hAnsi="Times New Roman"/>
          <w:b/>
          <w:sz w:val="24"/>
          <w:szCs w:val="24"/>
        </w:rPr>
        <w:t xml:space="preserve">Nota epistemológica. </w:t>
      </w:r>
      <w:r>
        <w:rPr>
          <w:rFonts w:ascii="Times New Roman" w:cs="Times New Roman" w:eastAsia="Times New Roman" w:hAnsi="Times New Roman"/>
          <w:sz w:val="24"/>
          <w:szCs w:val="24"/>
        </w:rPr>
        <w:t xml:space="preserve">Los resultados de la Capa 3 deben leerse con una cautela fundamental. Conforme a Barrett et al. (2019), las configuraciones faciales no decodifican estados emocionales internos de manera universal; el ICM facial no mide sinceridad ni autenticidad psicológica individual. Mide congruencia entre señales comunicativas multimodales a nivel del compareciente —una caracterización comparativa, no una evaluación de personas. Adicionalmente, MediaPipe FaceLandmarker no ha sido auditado sobre rostros mestizos, afrocolombianos o indígenas (Buolamwini y Gebru, 2018; Camara et al., 2024), lo que constituye una limitación de transferibilidad explícita.</w:t>
      </w:r>
    </w:p>
    <w:p>
      <w:pPr>
        <w:pStyle w:val="Heading2"/>
        <w:spacing w:before="240" w:after="120"/>
      </w:pPr>
      <w:r>
        <w:rPr>
          <w:rFonts w:ascii="Times New Roman" w:cs="Times New Roman" w:eastAsia="Times New Roman" w:hAnsi="Times New Roman"/>
          <w:b/>
          <w:sz w:val="26"/>
          <w:szCs w:val="26"/>
        </w:rPr>
        <w:t xml:space="preserve">5.10 Capa 3 — ICM tri-canal por compareciente</w:t>
      </w:r>
    </w:p>
    <w:p>
      <w:pPr>
        <w:spacing w:after="200" w:line="360" w:lineRule="auto"/>
        <w:jc w:val="both"/>
      </w:pPr>
      <w:r>
        <w:rPr>
          <w:rFonts w:ascii="Times New Roman" w:cs="Times New Roman" w:eastAsia="Times New Roman" w:hAnsi="Times New Roman"/>
          <w:b/>
          <w:sz w:val="24"/>
          <w:szCs w:val="24"/>
        </w:rPr>
        <w:t xml:space="preserve">Cómputo individual. </w:t>
      </w:r>
      <w:r>
        <w:rPr>
          <w:rFonts w:ascii="Times New Roman" w:cs="Times New Roman" w:eastAsia="Times New Roman" w:hAnsi="Times New Roman"/>
          <w:sz w:val="24"/>
          <w:szCs w:val="24"/>
        </w:rPr>
        <w:t xml:space="preserve">El Índice de Congruencia Multimodal se calcula para cada compareciente individualmente, integrando los tres canales con pesos 0.40 facial / 0.40 vocal / 0.20 verbal. El canal facial se normaliza por z-score comparativo; el vocal mediante escala fija anclada en valores de referencia de la literatura (shimmer, variabilidad de F0 y HNR invertido); y el verbal como proporción del discurso reparador (REP, y₁₀). Cuando un canal carece de cobertura suficiente, el índice se renormaliza sobre los canales disponibles. Cada compareciente recibe una marca de robustez —sólido o mínimo— según la suficiencia de evidencia por canal: se exigen al menos 100 tokens para el canal verbal, 10 ventanas para el vocal y 25 frames para el facial. De los 47 comparecientes con cobertura suficiente para el ICM, 38 se clasifican como sólidos y 9 como mínimos.</w:t>
      </w:r>
    </w:p>
    <w:tbl>
      <w:tblPr>
        <w:tblW w:w="9650" w:type="dxa"/>
        <w:tblBorders>
          <w:top w:val="single" w:sz="4" w:color="BBBBBB"/>
          <w:left w:val="single" w:sz="4" w:color="BBBBBB"/>
          <w:bottom w:val="single" w:sz="4" w:color="BBBBBB"/>
          <w:right w:val="single" w:sz="4" w:color="BBBBBB"/>
          <w:insideH w:val="single" w:sz="4" w:color="BBBBBB"/>
          <w:insideV w:val="single" w:sz="4" w:color="BBBBBB"/>
        </w:tblBorders>
        <w:tblLook w:val="04A0"/>
      </w:tblPr>
      <w:tblGrid>
        <w:gridCol w:w="1300"/>
        <w:gridCol w:w="2900"/>
        <w:gridCol w:w="1000"/>
        <w:gridCol w:w="1000"/>
        <w:gridCol w:w="1100"/>
        <w:gridCol w:w="1150"/>
        <w:gridCol w:w="1200"/>
      </w:tblGrid>
      <w:tr>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left"/>
            </w:pPr>
            <w:r>
              <w:rPr>
                <w:rFonts w:ascii="Times New Roman" w:cs="Times New Roman" w:eastAsia="Times New Roman" w:hAnsi="Times New Roman"/>
                <w:b/>
                <w:sz w:val="16"/>
                <w:szCs w:val="16"/>
              </w:rPr>
              <w:t xml:space="preserve">Subcaso</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left"/>
            </w:pPr>
            <w:r>
              <w:rPr>
                <w:rFonts w:ascii="Times New Roman" w:cs="Times New Roman" w:eastAsia="Times New Roman" w:hAnsi="Times New Roman"/>
                <w:b/>
                <w:sz w:val="16"/>
                <w:szCs w:val="16"/>
              </w:rPr>
              <w:t xml:space="preserve">Compareciente</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6"/>
                <w:szCs w:val="16"/>
              </w:rPr>
              <w:t xml:space="preserve">Facial</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6"/>
                <w:szCs w:val="16"/>
              </w:rPr>
              <w:t xml:space="preserve">Vocal</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6"/>
                <w:szCs w:val="16"/>
              </w:rPr>
              <w:t xml:space="preserve">Verbal
(REP)</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6"/>
                <w:szCs w:val="16"/>
              </w:rPr>
              <w:t xml:space="preserve">ICM
tri-canal</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6"/>
                <w:szCs w:val="16"/>
              </w:rPr>
              <w:t xml:space="preserve">Robustez</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Catatumbo</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Juan Carlos Chaparro Chaparro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0.328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0.484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0.062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0.337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Catatumbo</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Ruben Dario Castro Gomez</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0.202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0.346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0.611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0.342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Catatumbo</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Santiago Herrera Fajardo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0.280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0.491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0.228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0.354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Casanare</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Henry Torres Escalante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0.346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0.624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0.054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0.399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Costa Caribe</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Juan Carlos Soto Sepulveda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0.322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0.465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0.149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0.345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Costa Caribe</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Heber Hernan Gomez Naranjo</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0.543</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0.405</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0.062</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b/>
                <w:sz w:val="16"/>
                <w:szCs w:val="16"/>
              </w:rPr>
              <w:t xml:space="preserve">0.392</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mínimo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Costa Caribe</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Jose de Jesus Rueda Quintero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0.495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0.469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0.053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0.396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Costa Caribe</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Manuel Valentin Padilla Espitia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0.422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0.518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0.231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0.422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Costa Caribe</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Yeris Andres Gomez Coronel</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0.425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0.541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0.250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0.436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Yair Leandro Rodríguez</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0.122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0.458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0.050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0.242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Edie Pinzón Turcios</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0.185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0.543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0.096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0.311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Jaime Coral Trujillo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0.424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0.092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0.314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Carlos Andrés Caravalli</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0.382</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0.468</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0.000</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b/>
                <w:sz w:val="16"/>
                <w:szCs w:val="16"/>
              </w:rPr>
              <w:t xml:space="preserve">0.340</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mínimo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William Andrés Capera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0.328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0.519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0.097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0.358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Efraín Enrique Prada Correa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0.347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0.512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0.124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0.368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Hermes Mauricio Alvarado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0.445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0.465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0.035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0.371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Ricardo Manuel Buelvas Lozano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0.502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0.388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0.094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0.375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Alfonso Romero Buitrago</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0.565</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0.000</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b/>
                <w:sz w:val="16"/>
                <w:szCs w:val="16"/>
              </w:rPr>
              <w:t xml:space="preserve">0.377</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mínimo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Fidel Iván Ochoa Blanco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0.563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0.380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0.095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0.396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Luis Fidel Arenas Rodríguez</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0.732</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0.000</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b/>
                <w:sz w:val="16"/>
                <w:szCs w:val="16"/>
              </w:rPr>
              <w:t xml:space="preserve">0.488</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mínimo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Levis de Jesús Contreras</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0.765</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0.454</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0.054</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b/>
                <w:sz w:val="16"/>
                <w:szCs w:val="16"/>
              </w:rPr>
              <w:t xml:space="preserve">0.498</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mínimo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Aris Ramirez Campos</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0.064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0.464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0.158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0.243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Angel Fernando Carvajal Rojas</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0.232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0.436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0.000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0.267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Jair Fernandez</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0.053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0.559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0.143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0.273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Luis Carlos Aguilera Quintero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0.042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0.427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0.564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0.300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Jose Albeiro Bustos Aguilar</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0.365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0.357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0.208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0.330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Jose Fabio Guzman Muñoz</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0.441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0.414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0.000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0.342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Fabian Fermin Durango de la Cruz</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0.325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0.488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0.104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0.346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Jose Yati Anacona Bueno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0.338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0.530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0.000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0.347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Francisco Javier Castañeda Alfaro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0.157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0.457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0.554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0.356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Jose David Restrepo Solarte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0.436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0.485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0.000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0.368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Luis Carlos Oyola Tapia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0.348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0.515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0.132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0.372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Wilder Samboni Chanchi</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0.403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0.499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0.108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0.383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Jose Gañan Tapasco</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0.340</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0.542</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0.227</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b/>
                <w:sz w:val="16"/>
                <w:szCs w:val="16"/>
              </w:rPr>
              <w:t xml:space="preserve">0.398</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mínimo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Divar Juspian Jimenez</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0.451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0.452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0.205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0.402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Jhon Jairo Buitrago Lopez</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0.406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0.581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0.038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0.402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Harbey Sanchez Gomez</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0.520</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0.363</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0.412</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b/>
                <w:sz w:val="16"/>
                <w:szCs w:val="16"/>
              </w:rPr>
              <w:t xml:space="preserve">0.436</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mínimo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Ricardo Andres Lopez Garcia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0.551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0.541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0.119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0.461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Annuar Herrera Osorio</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0.484</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0.562</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0.278</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b/>
                <w:sz w:val="16"/>
                <w:szCs w:val="16"/>
              </w:rPr>
              <w:t xml:space="preserve">0.474</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mínimo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Jair Arias Sanchez</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0.435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0.419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0.665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0.475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Fernando Riveros Sarmiento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0.421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0.421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0.769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0.491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Faiver Coronado Camero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0.550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0.601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0.224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0.505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Jose Roldan Lopez Ceron</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0.711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0.478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0.179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0.511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Julian Andres Calderon Motta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0.727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0.525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0.096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0.520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Cesar Augusto Vasquez Ordoñez</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0.704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0.588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0.064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0.530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Fabio Nelson Rodriguez Barrera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0.749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0.513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0.207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0.546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Hernando Mendez Rodriguez</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0.774</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0.495</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0.357</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b/>
                <w:sz w:val="16"/>
                <w:szCs w:val="16"/>
              </w:rPr>
              <w:t xml:space="preserve">0.579</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mínimo</w:t>
            </w:r>
          </w:p>
        </w:tc>
      </w:tr>
    </w:tbl>
    <w:p>
      <w:pPr>
        <w:spacing w:after="160" w:line="360" w:lineRule="auto"/>
        <w:jc w:val="both"/>
      </w:pPr>
      <w:r>
        <w:rPr>
          <w:rFonts w:ascii="Times New Roman" w:cs="Times New Roman" w:eastAsia="Times New Roman" w:hAnsi="Times New Roman"/>
          <w:i/>
          <w:sz w:val="20"/>
          <w:szCs w:val="20"/>
        </w:rPr>
        <w:t xml:space="preserve">Tabla 5.10. ICM tri-canal por compareciente (47 comparecientes, Corpus C). Facial normalizado por z-score comparativo; vocal por escala fija de literatura; verbal como proporción del discurso reparador. ICM = 0.40·facial + 0.40·vocal + 0.20·verbal, renormalizado por cobertura. Filas ámbar: robustez mínima (evidencia escasa en al menos un canal). Ordenado por subcaso y por ICM ascendente.</w:t>
      </w:r>
    </w:p>
    <w:p>
      <w:pPr>
        <w:pStyle w:val="Heading2"/>
        <w:spacing w:before="240" w:after="120"/>
      </w:pPr>
      <w:r>
        <w:rPr>
          <w:rFonts w:ascii="Times New Roman" w:cs="Times New Roman" w:eastAsia="Times New Roman" w:hAnsi="Times New Roman"/>
          <w:b/>
          <w:sz w:val="26"/>
          <w:szCs w:val="26"/>
        </w:rPr>
        <w:t xml:space="preserve">5.11 Capa 3 — Síntesis interpretativa por subcaso</w:t>
      </w:r>
    </w:p>
    <w:p>
      <w:pPr>
        <w:spacing w:after="200" w:line="360" w:lineRule="auto"/>
        <w:jc w:val="both"/>
      </w:pPr>
      <w:r>
        <w:rPr>
          <w:rFonts w:ascii="Times New Roman" w:cs="Times New Roman" w:eastAsia="Times New Roman" w:hAnsi="Times New Roman"/>
          <w:b/>
          <w:sz w:val="24"/>
          <w:szCs w:val="24"/>
        </w:rPr>
        <w:t xml:space="preserve">Del subcaso al individuo. </w:t>
      </w:r>
      <w:r>
        <w:rPr>
          <w:rFonts w:ascii="Times New Roman" w:cs="Times New Roman" w:eastAsia="Times New Roman" w:hAnsi="Times New Roman"/>
          <w:sz w:val="24"/>
          <w:szCs w:val="24"/>
        </w:rPr>
        <w:t xml:space="preserve">El nivel individual revela un patrón que el análisis agregado por subcaso no podía mostrar: la congruencia multimodal es un atributo del compareciente, no del subcaso. La dispersión intra-subcaso es sustancial y, en varios casos, supera las diferencias entre subcasos. La siguiente tabla resume la distribución del ICM por subcaso; las medias deben leerse como descriptores de tendencia central, no como valores que caractericen uniformemente a todos los comparecientes del subcaso.</w:t>
      </w:r>
    </w:p>
    <w:tbl>
      <w:tblPr>
        <w:tblW w:w="7900" w:type="dxa"/>
        <w:tblBorders>
          <w:top w:val="single" w:sz="4" w:color="BBBBBB"/>
          <w:left w:val="single" w:sz="4" w:color="BBBBBB"/>
          <w:bottom w:val="single" w:sz="4" w:color="BBBBBB"/>
          <w:right w:val="single" w:sz="4" w:color="BBBBBB"/>
          <w:insideH w:val="single" w:sz="4" w:color="BBBBBB"/>
          <w:insideV w:val="single" w:sz="4" w:color="BBBBBB"/>
        </w:tblBorders>
        <w:tblLook w:val="04A0"/>
      </w:tblPr>
      <w:tblGrid>
        <w:gridCol w:w="1700"/>
        <w:gridCol w:w="800"/>
        <w:gridCol w:w="1500"/>
        <w:gridCol w:w="1300"/>
        <w:gridCol w:w="1300"/>
        <w:gridCol w:w="1300"/>
      </w:tblGrid>
      <w:tr>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left"/>
            </w:pPr>
            <w:r>
              <w:rPr>
                <w:rFonts w:ascii="Times New Roman" w:cs="Times New Roman" w:eastAsia="Times New Roman" w:hAnsi="Times New Roman"/>
                <w:b/>
                <w:sz w:val="18"/>
                <w:szCs w:val="18"/>
              </w:rPr>
              <w:t xml:space="preserve">Subcaso</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n</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ICM medio</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mín</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máx</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rango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Catatumbo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8"/>
                <w:szCs w:val="18"/>
              </w:rPr>
              <w:t xml:space="preserve">0.344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0.337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0.354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0.017</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Casanare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8"/>
                <w:szCs w:val="18"/>
              </w:rPr>
              <w:t xml:space="preserve">0.399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0.399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0.399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0.000</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Costa Caribe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8"/>
                <w:szCs w:val="18"/>
              </w:rPr>
              <w:t xml:space="preserve">0.398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0.345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0.436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0.091</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12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8"/>
                <w:szCs w:val="18"/>
              </w:rPr>
              <w:t xml:space="preserve">0.370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0.242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0.498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0.256</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26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8"/>
                <w:szCs w:val="18"/>
              </w:rPr>
              <w:t xml:space="preserve">0.410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0.243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0.579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0.336</w:t>
            </w:r>
          </w:p>
        </w:tc>
      </w:tr>
    </w:tbl>
    <w:p>
      <w:pPr>
        <w:spacing w:after="160" w:line="360" w:lineRule="auto"/>
        <w:jc w:val="both"/>
      </w:pPr>
      <w:r>
        <w:rPr>
          <w:rFonts w:ascii="Times New Roman" w:cs="Times New Roman" w:eastAsia="Times New Roman" w:hAnsi="Times New Roman"/>
          <w:i/>
          <w:sz w:val="20"/>
          <w:szCs w:val="20"/>
        </w:rPr>
        <w:t xml:space="preserve">Tabla 5.11. Distribución del ICM tri-canal por subcaso. Casanare tiene un único compareciente identificado (General Torres Escalante). La amplitud del rango en Huila (0.336) y Dabeiba (0.256) evidencia que la congruencia multimodal varía más entre individuos de un mismo subcaso que entre las medias de los subcasos.</w:t>
      </w:r>
    </w:p>
    <w:p>
      <w:pPr>
        <w:spacing w:after="200" w:line="360" w:lineRule="auto"/>
        <w:jc w:val="both"/>
      </w:pPr>
      <w:r>
        <w:rPr>
          <w:rFonts w:ascii="Times New Roman" w:cs="Times New Roman" w:eastAsia="Times New Roman" w:hAnsi="Times New Roman"/>
          <w:b/>
          <w:sz w:val="24"/>
          <w:szCs w:val="24"/>
        </w:rPr>
        <w:t xml:space="preserve">Casanare (Torres Escalante). </w:t>
      </w:r>
      <w:r>
        <w:rPr>
          <w:rFonts w:ascii="Times New Roman" w:cs="Times New Roman" w:eastAsia="Times New Roman" w:hAnsi="Times New Roman"/>
          <w:sz w:val="24"/>
          <w:szCs w:val="24"/>
        </w:rPr>
        <w:t xml:space="preserve">Torres Escalante es el único compareciente identificado del subcaso y presenta un perfil de divergencia entre canales que constituye el hallazgo más interpretativo de la Capa 3. Su canal vocal es el más alto del corpus (0.624 — alta irregularidad prosódica, con el shimmer más elevado), mientras su canal facial es comparativamente bajo (0.346). La divergencia entre ambos canales no verbales (Δ=0.278) es la mayor del corpus: la voz comunica carga emocional mientras el rostro mantiene una expresión contenida, con la sonrisa (AU12) más alta y el ceño (AU4) más bajo entre los comparecientes con buena detección. Antes que leerse como «el ICM más bajo», el patrón se caracteriza con mayor precisión como la máxima divergencia vocal-facial del corpus —una incongruencia entre canales no verbales que ningún análisis monomodal podría capturar.</w:t>
      </w:r>
    </w:p>
    <w:p>
      <w:pPr>
        <w:spacing w:after="200" w:line="360" w:lineRule="auto"/>
        <w:jc w:val="both"/>
      </w:pPr>
      <w:r>
        <w:rPr>
          <w:rFonts w:ascii="Times New Roman" w:cs="Times New Roman" w:eastAsia="Times New Roman" w:hAnsi="Times New Roman"/>
          <w:b/>
          <w:sz w:val="24"/>
          <w:szCs w:val="24"/>
        </w:rPr>
        <w:t xml:space="preserve">Catatumbo (Chaparro, Castro, Herrera). </w:t>
      </w:r>
      <w:r>
        <w:rPr>
          <w:rFonts w:ascii="Times New Roman" w:cs="Times New Roman" w:eastAsia="Times New Roman" w:hAnsi="Times New Roman"/>
          <w:sz w:val="24"/>
          <w:szCs w:val="24"/>
        </w:rPr>
        <w:t xml:space="preserve">Los tres comparecientes de Catatumbo presentan ICM tri-canal muy homogéneo (0.337–0.354), el subcaso de menor dispersión. El Capitán Chaparro (ICM=0.337) ejemplifica la disociación léxico-semántica analizada en §5.13: su discurso es gramaticalmente directo pero semánticamente el más distante del lenguaje de las víctimas. Castro Gómez destaca por el mayor canal verbal del subcaso (REP=0.611). Catatumbo, primera audiencia de reconocimiento del Macrocaso 003 (abril 2022), presenta además el AU15 más alto del corpus, coherente con la intensidad emocional singular de ese primer encuentro público con las víctimas.</w:t>
      </w:r>
    </w:p>
    <w:p>
      <w:pPr>
        <w:spacing w:after="200" w:line="360" w:lineRule="auto"/>
        <w:jc w:val="both"/>
      </w:pPr>
      <w:r>
        <w:rPr>
          <w:rFonts w:ascii="Times New Roman" w:cs="Times New Roman" w:eastAsia="Times New Roman" w:hAnsi="Times New Roman"/>
          <w:b/>
          <w:sz w:val="24"/>
          <w:szCs w:val="24"/>
        </w:rPr>
        <w:t xml:space="preserve">Dabeiba (12 comparecientes). </w:t>
      </w:r>
      <w:r>
        <w:rPr>
          <w:rFonts w:ascii="Times New Roman" w:cs="Times New Roman" w:eastAsia="Times New Roman" w:hAnsi="Times New Roman"/>
          <w:sz w:val="24"/>
          <w:szCs w:val="24"/>
        </w:rPr>
        <w:t xml:space="preserve">Dabeiba presenta una de las mayores dispersiones del corpus (ICM de 0.242 a 0.498). Varios comparecientes con alto distress facial —Contreras (0.765) y Arenas (0.732)— elevan el extremo superior, mientras otros con expresión facial contenida ocupan el inferior. Esta heterogeneidad matiza la lectura previa que atribuía a Dabeiba una congruencia uniformemente alta: la materialidad del acto de reconocimiento en este subcaso —los comparecientes guiaron a los investigadores a 49 fosas del cementerio Las Mercedes— coexiste con perfiles multimodales individuales diversos. Cuatro comparecientes del subcaso se clasifican como robustez mínima por evidencia escasa en algún canal.</w:t>
      </w:r>
    </w:p>
    <w:p>
      <w:pPr>
        <w:spacing w:after="200" w:line="360" w:lineRule="auto"/>
        <w:jc w:val="both"/>
      </w:pPr>
      <w:r>
        <w:rPr>
          <w:rFonts w:ascii="Times New Roman" w:cs="Times New Roman" w:eastAsia="Times New Roman" w:hAnsi="Times New Roman"/>
          <w:b/>
          <w:sz w:val="24"/>
          <w:szCs w:val="24"/>
        </w:rPr>
        <w:t xml:space="preserve">Huila (26 comparecientes). </w:t>
      </w:r>
      <w:r>
        <w:rPr>
          <w:rFonts w:ascii="Times New Roman" w:cs="Times New Roman" w:eastAsia="Times New Roman" w:hAnsi="Times New Roman"/>
          <w:sz w:val="24"/>
          <w:szCs w:val="24"/>
        </w:rPr>
        <w:t xml:space="preserve">Huila es el subcaso más numeroso (26 comparecientes) y el de mayor dispersión (ICM de 0.243 a 0.579), que contiene tanto el valor más alto del corpus (Hernando Méndez, 0.579) como uno de los más bajos (Aris Ramírez, 0.243). Es también el subcaso semánticamente más cercano al lenguaje de las víctimas a nivel agregado. Destacan comparecientes con alto canal verbal reparador —Riveros Sarmiento (REP=0.769), Arias Sánchez (0.665), Aguilera Quintero (0.564)— cuyo ICM, sin embargo, queda modulado por sus canales no verbales. La amplitud del rango confirma que en Huila la congruencia multimodal es estrictamente individual y no se deja resumir por el subcaso.</w:t>
      </w:r>
    </w:p>
    <w:p>
      <w:pPr>
        <w:spacing w:after="200" w:line="360" w:lineRule="auto"/>
        <w:jc w:val="both"/>
      </w:pPr>
      <w:r>
        <w:rPr>
          <w:rFonts w:ascii="Times New Roman" w:cs="Times New Roman" w:eastAsia="Times New Roman" w:hAnsi="Times New Roman"/>
          <w:b/>
          <w:sz w:val="24"/>
          <w:szCs w:val="24"/>
        </w:rPr>
        <w:t xml:space="preserve">Costa Caribe (5 comparecientes). </w:t>
      </w:r>
      <w:r>
        <w:rPr>
          <w:rFonts w:ascii="Times New Roman" w:cs="Times New Roman" w:eastAsia="Times New Roman" w:hAnsi="Times New Roman"/>
          <w:sz w:val="24"/>
          <w:szCs w:val="24"/>
        </w:rPr>
        <w:t xml:space="preserve">Los cinco comparecientes de Costa Caribe (Batallón La Popa) presentan ICM entre 0.345 y 0.436, con cobertura facial y vocal completa tras la reextracción homogénea del canal facial (5.396 frames). Gómez Naranjo se marca como robustez mínima por evidencia facial escasa. La incorporación plena de Costa Caribe completa el Corpus C en los cinco subcasos para el análisis multimodal.</w:t>
      </w:r>
    </w:p>
    <w:p>
      <w:pPr>
        <w:pStyle w:val="Heading2"/>
        <w:spacing w:before="240" w:after="120"/>
      </w:pPr>
      <w:r>
        <w:rPr>
          <w:rFonts w:ascii="Times New Roman" w:cs="Times New Roman" w:eastAsia="Times New Roman" w:hAnsi="Times New Roman"/>
          <w:b/>
          <w:sz w:val="26"/>
          <w:szCs w:val="26"/>
        </w:rPr>
        <w:t xml:space="preserve">5.12 Capa 3 — Disociación de canales como patrón estructural</w:t>
      </w:r>
    </w:p>
    <w:p>
      <w:pPr>
        <w:spacing w:after="200" w:line="360" w:lineRule="auto"/>
        <w:jc w:val="both"/>
      </w:pPr>
      <w:r>
        <w:rPr>
          <w:rFonts w:ascii="Times New Roman" w:cs="Times New Roman" w:eastAsia="Times New Roman" w:hAnsi="Times New Roman"/>
          <w:b/>
          <w:sz w:val="24"/>
          <w:szCs w:val="24"/>
        </w:rPr>
        <w:t xml:space="preserve">El reconocimiento como fenómeno multidimensional. </w:t>
      </w:r>
      <w:r>
        <w:rPr>
          <w:rFonts w:ascii="Times New Roman" w:cs="Times New Roman" w:eastAsia="Times New Roman" w:hAnsi="Times New Roman"/>
          <w:sz w:val="24"/>
          <w:szCs w:val="24"/>
        </w:rPr>
        <w:t xml:space="preserve">El análisis individual confirma y profundiza el hallazgo central de la Capa 3: la disociación entre canales discursivos es el patrón estructural dominante de las audiencias de reconocimiento. En ningún compareciente los tres canales apuntan uniformemente en la misma dirección. Esta disociación adopta formas distintas: divergencia vocal-facial (paradigmáticamente Torres Escalante, Δ=0.278), disociación léxico-semántica (Chaparro, que usa el vocabulario de las víctimas en superficie pero permanece distante en el embedding profundo), o canal verbal reparador alto con canales no verbales contenidos (Aguilera, Riveros). La existencia de estos perfiles heterogéneos —imposibles de detectar con un único canal— valida metodológicamente la arquitectura tri-canal del ICM y, más ampliamente, la arquitectura multi-capa del framework CFH: un análisis monomodal habría producido conclusiones empobrecidas o erróneas sobre la naturaleza del reconocimiento en la justicia transicional.</w:t>
      </w:r>
    </w:p>
    <w:p>
      <w:pPr>
        <w:pStyle w:val="Heading2"/>
        <w:spacing w:before="240" w:after="120"/>
      </w:pPr>
      <w:r>
        <w:rPr>
          <w:rFonts w:ascii="Times New Roman" w:cs="Times New Roman" w:eastAsia="Times New Roman" w:hAnsi="Times New Roman"/>
          <w:b/>
          <w:sz w:val="26"/>
          <w:szCs w:val="26"/>
        </w:rPr>
        <w:t xml:space="preserve">5.13 Índice de Injusticia Epistémica (IEI) y comparación con el DIS Score</w:t>
      </w:r>
    </w:p>
    <w:p>
      <w:pPr>
        <w:spacing w:after="200" w:line="360" w:lineRule="auto"/>
        <w:jc w:val="both"/>
      </w:pPr>
      <w:r>
        <w:rPr>
          <w:rFonts w:ascii="Times New Roman" w:cs="Times New Roman" w:eastAsia="Times New Roman" w:hAnsi="Times New Roman"/>
          <w:b/>
          <w:sz w:val="24"/>
          <w:szCs w:val="24"/>
        </w:rPr>
        <w:t xml:space="preserve">Definición y normalización del IEI. </w:t>
      </w:r>
      <w:r>
        <w:rPr>
          <w:rFonts w:ascii="Times New Roman" w:cs="Times New Roman" w:eastAsia="Times New Roman" w:hAnsi="Times New Roman"/>
          <w:sz w:val="24"/>
          <w:szCs w:val="24"/>
        </w:rPr>
        <w:t xml:space="preserve">El Índice de Injusticia Epistémica (IEI) operacionaliza el marco de Fricker (2007) con los indicadores disponibles: distancia semántica al léxico de las víctimas (y₈ MAFAPO, peso 0.35), distancia a estándares de derechos humanos (y₉ CIDH, peso 0.20), déficit de credibilidad léxico (y₄ NV, peso 0.25) y ausencia de expansión hermenéutica (1−y₁₀ REP, peso 0.20). Tanto el DIS como el IEI se calculan sobre indicadores previamente normalizados mediante z-score seguido de función sigmoide sobre la distribución conjunta A+B+C, y el índice resultante es su combinación lineal ponderada (los pesos suman la unidad, de modo que el índice permanece en el intervalo (0,1) sin requerir una segunda normalización).</w:t>
      </w:r>
    </w:p>
    <w:tbl>
      <w:tblPr>
        <w:tblW w:w="8000" w:type="dxa"/>
        <w:tblBorders>
          <w:top w:val="single" w:sz="4" w:color="BBBBBB"/>
          <w:left w:val="single" w:sz="4" w:color="BBBBBB"/>
          <w:bottom w:val="single" w:sz="4" w:color="BBBBBB"/>
          <w:right w:val="single" w:sz="4" w:color="BBBBBB"/>
          <w:insideH w:val="single" w:sz="4" w:color="BBBBBB"/>
          <w:insideV w:val="single" w:sz="4" w:color="BBBBBB"/>
        </w:tblBorders>
        <w:tblLook w:val="04A0"/>
      </w:tblPr>
      <w:tblGrid>
        <w:gridCol w:w="1700"/>
        <w:gridCol w:w="800"/>
        <w:gridCol w:w="1200"/>
        <w:gridCol w:w="1200"/>
        <w:gridCol w:w="1700"/>
        <w:gridCol w:w="1400"/>
      </w:tblGrid>
      <w:tr>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left"/>
            </w:pPr>
            <w:r>
              <w:rPr>
                <w:rFonts w:ascii="Times New Roman" w:cs="Times New Roman" w:eastAsia="Times New Roman" w:hAnsi="Times New Roman"/>
                <w:b/>
                <w:sz w:val="18"/>
                <w:szCs w:val="18"/>
              </w:rPr>
              <w:t xml:space="preserve">Subcaso</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n</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DIS</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IEI</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Δ |DIS−IEI|</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Patrón</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Casanare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124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0.592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0.490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0.102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DIS&gt;IEI</w:t>
            </w:r>
          </w:p>
        </w:tc>
      </w:tr>
      <w:tr>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left"/>
            </w:pPr>
            <w:r>
              <w:rPr>
                <w:rFonts w:ascii="Times New Roman" w:cs="Times New Roman" w:eastAsia="Times New Roman" w:hAnsi="Times New Roman"/>
                <w:sz w:val="18"/>
                <w:szCs w:val="18"/>
              </w:rPr>
              <w:t xml:space="preserve">Catatumbo</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sz w:val="18"/>
                <w:szCs w:val="18"/>
              </w:rPr>
              <w:t xml:space="preserve">58</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sz w:val="18"/>
                <w:szCs w:val="18"/>
              </w:rPr>
              <w:t xml:space="preserve">0.417</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sz w:val="18"/>
                <w:szCs w:val="18"/>
              </w:rPr>
              <w:t xml:space="preserve">0.476</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b/>
                <w:sz w:val="18"/>
                <w:szCs w:val="18"/>
              </w:rPr>
              <w:t xml:space="preserve">0.059</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sz w:val="18"/>
                <w:szCs w:val="18"/>
              </w:rPr>
              <w:t xml:space="preserve">IEI&gt;DIS</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Costa Caribe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128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0.512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0.475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0.037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DIS&gt;IEI</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144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0.491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0.449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0.042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DIS&gt;IEI</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134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0.467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0.432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0.035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DIS&gt;IEI</w:t>
            </w:r>
          </w:p>
        </w:tc>
      </w:tr>
    </w:tbl>
    <w:p>
      <w:pPr>
        <w:spacing w:after="160" w:line="360" w:lineRule="auto"/>
        <w:jc w:val="both"/>
      </w:pPr>
      <w:r>
        <w:rPr>
          <w:rFonts w:ascii="Times New Roman" w:cs="Times New Roman" w:eastAsia="Times New Roman" w:hAnsi="Times New Roman"/>
          <w:i/>
          <w:sz w:val="20"/>
          <w:szCs w:val="20"/>
        </w:rPr>
        <w:t xml:space="preserve">Tabla 5.14. DIS Score (η₁) vs. IEI (η₂) por subcaso, Corpus C (588 bloques de ~2.000 caracteres, base unificada). DIS = 0.35·y₂ + 0.35·y₄ + 0.30·(1−y₁₀). IEI = 0.35·y₈ + 0.20·y₉ + 0.25·y₄ + 0.20·(1−y₁₀), sobre indicadores normalizados z-score+sigmoide A+B+C. Verde: único subcaso con IEI&gt;DIS (Catatumbo).</w:t>
      </w:r>
    </w:p>
    <w:p>
      <w:pPr>
        <w:spacing w:after="200" w:line="360" w:lineRule="auto"/>
        <w:jc w:val="both"/>
      </w:pPr>
      <w:r>
        <w:rPr>
          <w:rFonts w:ascii="Times New Roman" w:cs="Times New Roman" w:eastAsia="Times New Roman" w:hAnsi="Times New Roman"/>
          <w:b/>
          <w:sz w:val="24"/>
          <w:szCs w:val="24"/>
        </w:rPr>
        <w:t xml:space="preserve">Lectura de la comparación. </w:t>
      </w:r>
      <w:r>
        <w:rPr>
          <w:rFonts w:ascii="Times New Roman" w:cs="Times New Roman" w:eastAsia="Times New Roman" w:hAnsi="Times New Roman"/>
          <w:sz w:val="24"/>
          <w:szCs w:val="24"/>
        </w:rPr>
        <w:t xml:space="preserve">El ranking del DIS sitúa a Casanare en el extremo de mayor injusticia discursiva (0.592) y a Catatumbo en el de menor (0.417), coherente con el análisis de los indicadores individuales. El IEI presenta un orden distinto, y su comparación con el DIS revela el hallazgo central de esta sección: en cuatro de los cinco subcasos la injusticia discursiva supera a la epistémica (DIS&gt;IEI), pero en Catatumbo el patrón se invierte (IEI=0.499 &gt; DIS=0.417). Catatumbo es el único subcaso donde la injusticia epistémica excede a la discursiva.</w:t>
      </w:r>
    </w:p>
    <w:p>
      <w:pPr>
        <w:spacing w:after="200" w:line="360" w:lineRule="auto"/>
        <w:jc w:val="both"/>
      </w:pPr>
      <w:r>
        <w:rPr>
          <w:rFonts w:ascii="Times New Roman" w:cs="Times New Roman" w:eastAsia="Times New Roman" w:hAnsi="Times New Roman"/>
          <w:b/>
          <w:sz w:val="24"/>
          <w:szCs w:val="24"/>
        </w:rPr>
        <w:t xml:space="preserve">El caso de Catatumbo. </w:t>
      </w:r>
      <w:r>
        <w:rPr>
          <w:rFonts w:ascii="Times New Roman" w:cs="Times New Roman" w:eastAsia="Times New Roman" w:hAnsi="Times New Roman"/>
          <w:sz w:val="24"/>
          <w:szCs w:val="24"/>
        </w:rPr>
        <w:t xml:space="preserve">La disociación de Catatumbo es cualitativamente significativa aunque de magnitud modesta (Δ=0.082). El Capitán Chaparro exhibe la menor injusticia discursiva del corpus —su discurso es gramaticalmente el más directo, con la menor supresión de agentividad y la menor negación de victimización— pero su lenguaje permanece semánticamente más distante del de las víctimas que ese avance gramatical haría esperar (y₈=0.179, el más alto del Corpus C). En términos de Fricker (2007), corrige la injusticia testimonial —cede autoridad gramatical, habla en primera persona activa, reduce la negación de victimización— pero mantiene una injusticia hermenéutica residual: adopta la forma del reconocimiento sin adoptar plenamente la estructura semántica del lenguaje con que las víctimas nombran su experiencia. Esta disociación, modesta en los índices agregados, se documenta de forma convergente en el análisis léxico-semántico de §5.14.</w:t>
      </w:r>
    </w:p>
    <w:p>
      <w:pPr>
        <w:spacing w:after="200" w:line="360" w:lineRule="auto"/>
        <w:jc w:val="both"/>
      </w:pPr>
      <w:r>
        <w:rPr>
          <w:rFonts w:ascii="Times New Roman" w:cs="Times New Roman" w:eastAsia="Times New Roman" w:hAnsi="Times New Roman"/>
          <w:b/>
          <w:sz w:val="24"/>
          <w:szCs w:val="24"/>
        </w:rPr>
        <w:t xml:space="preserve">Los demás subcasos. </w:t>
      </w:r>
      <w:r>
        <w:rPr>
          <w:rFonts w:ascii="Times New Roman" w:cs="Times New Roman" w:eastAsia="Times New Roman" w:hAnsi="Times New Roman"/>
          <w:sz w:val="24"/>
          <w:szCs w:val="24"/>
        </w:rPr>
        <w:t xml:space="preserve">Los demás subcasos presentan DIS e IEI próximos entre sí (Δ entre 0.004 y 0.067), con la injusticia discursiva ligeramente por encima de la epistémica. Casanare encabeza ambos índices (DIS=0.592, IEI=0.525), configurando el perfil de mayor distancia simultánea —discursiva y epistémica— del corpus. Huila presenta los valores más bajos en ambas dimensiones (DIS=0.467, IEI=0.463), el perfil más cercano al lenguaje de las víctimas. La proximidad entre DIS e IEI en estos cuatro subcasos indica que, fuera del caso de Catatumbo, las dos formas de injusticia tienden a covariar.</w:t>
      </w:r>
    </w:p>
    <w:p>
      <w:pPr>
        <w:pStyle w:val="Heading2"/>
        <w:spacing w:before="240" w:after="120"/>
      </w:pPr>
      <w:r>
        <w:rPr>
          <w:rFonts w:ascii="Times New Roman" w:cs="Times New Roman" w:eastAsia="Times New Roman" w:hAnsi="Times New Roman"/>
          <w:b/>
          <w:sz w:val="26"/>
          <w:szCs w:val="26"/>
        </w:rPr>
        <w:t xml:space="preserve">5.13.1 Robustez de la comparación A vs B: el DIS agregado frente a sus componentes</w:t>
      </w:r>
    </w:p>
    <w:p>
      <w:pPr>
        <w:spacing w:after="200" w:line="360" w:lineRule="auto"/>
        <w:jc w:val="both"/>
      </w:pPr>
      <w:r>
        <w:rPr>
          <w:rFonts w:ascii="Times New Roman" w:cs="Times New Roman" w:eastAsia="Times New Roman" w:hAnsi="Times New Roman"/>
          <w:b/>
          <w:sz w:val="24"/>
          <w:szCs w:val="24"/>
        </w:rPr>
        <w:t xml:space="preserve">Una no-diferencia robusta, no un artefacto. </w:t>
      </w:r>
      <w:r>
        <w:rPr>
          <w:rFonts w:ascii="Times New Roman" w:cs="Times New Roman" w:eastAsia="Times New Roman" w:hAnsi="Times New Roman"/>
          <w:sz w:val="24"/>
          <w:szCs w:val="24"/>
        </w:rPr>
        <w:t xml:space="preserve">El DIS Score, como índice agregado, no distingue significativamente la justicia ordinaria (Corpus A) de la justicia transicional escrita (Corpus B): la prueba de Mann-Whitney arroja p=0.119 (A=0.514, B=0.496). Este resultado podría atribuirse a una elección particular de normalización, por lo que se sometió a una verificación sistemática mediante esquemas alternativos. La conclusión es robusta: bajo todos los esquemas razonables de normalización, el DIS agregado no diferencia los dos sistemas de justicia.</w:t>
      </w:r>
    </w:p>
    <w:tbl>
      <w:tblPr>
        <w:tblW w:w="9360" w:type="dxa"/>
        <w:tblBorders>
          <w:top w:val="single" w:sz="4" w:color="BBBBBB"/>
          <w:left w:val="single" w:sz="4" w:color="BBBBBB"/>
          <w:bottom w:val="single" w:sz="4" w:color="BBBBBB"/>
          <w:right w:val="single" w:sz="4" w:color="BBBBBB"/>
          <w:insideH w:val="single" w:sz="4" w:color="BBBBBB"/>
          <w:insideV w:val="single" w:sz="4" w:color="BBBBBB"/>
        </w:tblBorders>
        <w:tblLook w:val="04A0"/>
      </w:tblPr>
      <w:tblGrid>
        <w:gridCol w:w="4200"/>
        <w:gridCol w:w="1300"/>
        <w:gridCol w:w="1300"/>
        <w:gridCol w:w="1300"/>
        <w:gridCol w:w="1260"/>
      </w:tblGrid>
      <w:tr>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left"/>
            </w:pPr>
            <w:r>
              <w:rPr>
                <w:rFonts w:ascii="Times New Roman" w:cs="Times New Roman" w:eastAsia="Times New Roman" w:hAnsi="Times New Roman"/>
                <w:b/>
                <w:sz w:val="18"/>
                <w:szCs w:val="18"/>
              </w:rPr>
              <w:t xml:space="preserve">Esquema de normalización</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DIS A</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DIS B</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p-valor</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Sig.</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z-score+sigmoide sobre A+B</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0.511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0.490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0.115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n.s.</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z-score+sigmoide sobre A+B+C</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0.514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0.496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0.119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n.s.</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Indicadores crudos (sin normalizar)</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0.668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0.655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0.279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n.s.</w:t>
            </w:r>
          </w:p>
        </w:tc>
      </w:tr>
    </w:tbl>
    <w:p>
      <w:pPr>
        <w:spacing w:after="160" w:line="360" w:lineRule="auto"/>
        <w:jc w:val="both"/>
      </w:pPr>
      <w:r>
        <w:rPr>
          <w:rFonts w:ascii="Times New Roman" w:cs="Times New Roman" w:eastAsia="Times New Roman" w:hAnsi="Times New Roman"/>
          <w:i/>
          <w:sz w:val="20"/>
          <w:szCs w:val="20"/>
        </w:rPr>
        <w:t xml:space="preserve">Tabla 5.15. Comparación del DIS agregado (Corpus A vs. B) bajo tres esquemas de normalización. Mann-Whitney U bilateral. La no-significancia se mantiene en los tres casos, incluido el cálculo sobre indicadores crudos, cuyo resultado es independiente de toda normalización monótona.</w:t>
      </w:r>
    </w:p>
    <w:p>
      <w:pPr>
        <w:spacing w:after="200" w:line="360" w:lineRule="auto"/>
        <w:jc w:val="both"/>
      </w:pPr>
      <w:r>
        <w:rPr>
          <w:rFonts w:ascii="Times New Roman" w:cs="Times New Roman" w:eastAsia="Times New Roman" w:hAnsi="Times New Roman"/>
          <w:b/>
          <w:sz w:val="24"/>
          <w:szCs w:val="24"/>
        </w:rPr>
        <w:t xml:space="preserve">Por qué la verificación es concluyente. </w:t>
      </w:r>
      <w:r>
        <w:rPr>
          <w:rFonts w:ascii="Times New Roman" w:cs="Times New Roman" w:eastAsia="Times New Roman" w:hAnsi="Times New Roman"/>
          <w:sz w:val="24"/>
          <w:szCs w:val="24"/>
        </w:rPr>
        <w:t xml:space="preserve">La fila decisiva es la tercera. La prueba de Mann-Whitney compara rangos y es, por construcción, invariante ante cualquier transformación monótona de los datos —incluidas el z-score, la sigmoide y la normalización min-max—. Que el DIS calculado sobre indicadores crudos arroje p=0.279 demuestra que la ausencia de diferencia no es producto del esquema de normalización elegido, sino una propiedad de los datos: en el agregado, la distancia discursiva entre la justicia ordinaria y la JEP escrita no alcanza significancia estadística. Ninguna normalización legítima puede generar una diferencia que los datos no contienen; explorar esquemas alternativos hasta obtener significancia constituiría un sesgo de especificación que esta investigación descarta explícitamente.</w:t>
      </w:r>
    </w:p>
    <w:p>
      <w:pPr>
        <w:spacing w:after="200" w:line="360" w:lineRule="auto"/>
        <w:jc w:val="both"/>
      </w:pPr>
      <w:r>
        <w:rPr>
          <w:rFonts w:ascii="Times New Roman" w:cs="Times New Roman" w:eastAsia="Times New Roman" w:hAnsi="Times New Roman"/>
          <w:b/>
          <w:sz w:val="24"/>
          <w:szCs w:val="24"/>
        </w:rPr>
        <w:t xml:space="preserve">La causa: dilución por agregación. </w:t>
      </w:r>
      <w:r>
        <w:rPr>
          <w:rFonts w:ascii="Times New Roman" w:cs="Times New Roman" w:eastAsia="Times New Roman" w:hAnsi="Times New Roman"/>
          <w:sz w:val="24"/>
          <w:szCs w:val="24"/>
        </w:rPr>
        <w:t xml:space="preserve">La explicación de esta no-diferencia se encuentra en la estructura del propio índice. El DIS agrega tres indicadores con comportamientos heterogéneos frente a la comparación A vs B: la Supresión de Agentividad (y₂), que es transversal al género jurídico-institucional y no discrimina entre sistemas (p=0.934); la Negación de Victimización (y₄), que discrimina débilmente (p=0.028); y la Ruptura Epistémica Positiva (y₁₀), que discrimina con fuerza (p&lt;0.001). Al promediar un indicador no discriminante (y₂, con peso 0.35) con uno fuertemente discriminante (y₁₀, con peso 0.30), el índice compuesto diluye la señal: el avance del reconocimiento que y₁₀ captura queda compensado por la invariancia de y₂. La no-significancia del DIS agregado es, por tanto, un efecto de agregación, no la ausencia de una transición discursiva.</w:t>
      </w:r>
    </w:p>
    <w:p>
      <w:pPr>
        <w:spacing w:after="200" w:line="360" w:lineRule="auto"/>
        <w:jc w:val="both"/>
      </w:pPr>
      <w:r>
        <w:rPr>
          <w:rFonts w:ascii="Times New Roman" w:cs="Times New Roman" w:eastAsia="Times New Roman" w:hAnsi="Times New Roman"/>
          <w:b/>
          <w:sz w:val="24"/>
          <w:szCs w:val="24"/>
        </w:rPr>
        <w:t xml:space="preserve">Reorientación del hallazgo. </w:t>
      </w:r>
      <w:r>
        <w:rPr>
          <w:rFonts w:ascii="Times New Roman" w:cs="Times New Roman" w:eastAsia="Times New Roman" w:hAnsi="Times New Roman"/>
          <w:sz w:val="24"/>
          <w:szCs w:val="24"/>
        </w:rPr>
        <w:t xml:space="preserve">Este diagnóstico reorienta la interpretación de la brecha discursiva. La transición entre la justicia ordinaria y la transicional no se manifiesta como un desplazamiento global del índice agregado, sino a nivel de indicadores específicos y del índice epistémico. La Ruptura Epistémica Positiva (y₁₀, p&lt;0.001) y la cercanía semántica al lenguaje de las víctimas, sintetizada en el IEI (p&lt;0.001), son los marcadores que distinguen significativamente los dos sistemas; el DIS agregado, en cambio, no lo hace. Lejos de debilitar la tesis, este hallazgo precisa su contribución: el aporte original del framework no es un índice discursivo global que separe los corpus, sino la capacidad de identificar qué dimensiones específicas de la injusticia —la epistémica, operacionalizada en el IEI, y el reconocimiento, en y₁₀— constituyen la signatura medible de la transición.</w:t>
      </w:r>
    </w:p>
    <w:p>
      <w:pPr>
        <w:pStyle w:val="Heading2"/>
        <w:spacing w:before="240" w:after="120"/>
      </w:pPr>
      <w:r>
        <w:rPr>
          <w:rFonts w:ascii="Times New Roman" w:cs="Times New Roman" w:eastAsia="Times New Roman" w:hAnsi="Times New Roman"/>
          <w:b/>
          <w:sz w:val="26"/>
          <w:szCs w:val="26"/>
        </w:rPr>
        <w:t xml:space="preserve">5.14 Indicadores Beach (2021): registro léxico, verbos atributivos y evidenciales</w:t>
      </w:r>
    </w:p>
    <w:p>
      <w:pPr>
        <w:spacing w:after="200" w:line="360" w:lineRule="auto"/>
        <w:jc w:val="both"/>
      </w:pPr>
      <w:r>
        <w:rPr>
          <w:rFonts w:ascii="Times New Roman" w:cs="Times New Roman" w:eastAsia="Times New Roman" w:hAnsi="Times New Roman"/>
          <w:b/>
          <w:sz w:val="24"/>
          <w:szCs w:val="24"/>
        </w:rPr>
        <w:t xml:space="preserve">Indicadores léxico-sintácticos. </w:t>
      </w:r>
      <w:r>
        <w:rPr>
          <w:rFonts w:ascii="Times New Roman" w:cs="Times New Roman" w:eastAsia="Times New Roman" w:hAnsi="Times New Roman"/>
          <w:sz w:val="24"/>
          <w:szCs w:val="24"/>
        </w:rPr>
        <w:t xml:space="preserve">Los tres indicadores de Beach et al. (2021) —quotes/registro léxico (y₁₁), verbos atributivos (y₁₂) y evidenciales (y₁₃)— operacionalizan la injusticia testimonial en el nivel léxico-sintáctico, complementando los indicadores semánticos y₈/y₉. Los tres son estadísticamente significativos entre Corpus A y B (p&lt;0.001, Mann-Whitney U bilateral). El hallazgo más robusto es y₁₂ verbos atributivos: A=0.270 vs B=0.058 (4,6× mayor en la justicia ordinaria), que usa significativamente más verbos de baja credibilidad —«alegó», «adujo», «supuestamente»— para referirse a las declaraciones de las víctimas, incorporando el descuento de credibilidad directamente en la gramática del relato judicial.</w:t>
      </w:r>
    </w:p>
    <w:p>
      <w:pPr>
        <w:spacing w:after="200" w:line="360" w:lineRule="auto"/>
        <w:jc w:val="both"/>
      </w:pPr>
      <w:r>
        <w:rPr>
          <w:rFonts w:ascii="Times New Roman" w:cs="Times New Roman" w:eastAsia="Times New Roman" w:hAnsi="Times New Roman"/>
          <w:b/>
          <w:sz w:val="24"/>
          <w:szCs w:val="24"/>
        </w:rPr>
        <w:t xml:space="preserve">Disociación léxico-semántica en Catatumbo. </w:t>
      </w:r>
      <w:r>
        <w:rPr>
          <w:rFonts w:ascii="Times New Roman" w:cs="Times New Roman" w:eastAsia="Times New Roman" w:hAnsi="Times New Roman"/>
          <w:sz w:val="24"/>
          <w:szCs w:val="24"/>
        </w:rPr>
        <w:t xml:space="preserve">Para el Corpus C oral, y₁₁ se operacionaliza como registro léxico MAFAPO frente a militar, dado que las transcripciones automáticas no preservan marcadores tipográficos de cita. Los resultados revelan una disociación de dos niveles en Catatumbo: el Capitán Chaparro usa vocabulario del campo semántico de las víctimas en superficie (proporción MAFAPO=0.736, el segundo más alto) pero su discurso, medido a nivel de embedding profundo, permanece el más distante del centroide MAFAPO (y₈=0.179). Adopta el vocabulario superficial de los recursos hermenéuticos de las víctimas sin adoptar su estructura semántica subyacente. Esta disociación léxico-semántica es el hallazgo más sofisticado del análisis verbal del Corpus C, y refuerza por una vía independiente la disociación DIS-IEI documentada en §5.13.</w:t>
      </w:r>
    </w:p>
    <w:p>
      <w:pPr>
        <w:pStyle w:val="Heading2"/>
        <w:spacing w:before="240" w:after="120"/>
      </w:pPr>
      <w:r>
        <w:rPr>
          <w:rFonts w:ascii="Times New Roman" w:cs="Times New Roman" w:eastAsia="Times New Roman" w:hAnsi="Times New Roman"/>
          <w:b/>
          <w:sz w:val="26"/>
          <w:szCs w:val="26"/>
        </w:rPr>
        <w:t xml:space="preserve">5.15 Integración del canal verbal en el ICM</w:t>
      </w:r>
    </w:p>
    <w:p>
      <w:pPr>
        <w:spacing w:after="200" w:line="360" w:lineRule="auto"/>
        <w:jc w:val="both"/>
      </w:pPr>
      <w:r>
        <w:rPr>
          <w:rFonts w:ascii="Times New Roman" w:cs="Times New Roman" w:eastAsia="Times New Roman" w:hAnsi="Times New Roman"/>
          <w:b/>
          <w:sz w:val="24"/>
          <w:szCs w:val="24"/>
        </w:rPr>
        <w:t xml:space="preserve">El canal verbal como proporción reparadora. </w:t>
      </w:r>
      <w:r>
        <w:rPr>
          <w:rFonts w:ascii="Times New Roman" w:cs="Times New Roman" w:eastAsia="Times New Roman" w:hAnsi="Times New Roman"/>
          <w:sz w:val="24"/>
          <w:szCs w:val="24"/>
        </w:rPr>
        <w:t xml:space="preserve">El canal verbal del ICM se opera mediante el indicador REP (y₁₀) como proporción del discurso reparador, una reformulación que aísla la disposición reparadora del compareciente del factor exógeno de la duración de su intervención —determinada institucionalmente por la JEP, no por el compareciente. Esta operacionalización reconoce que la corrección hermenéutica tiene dos dimensiones potencialmente disociables: la adopción del vocabulario de las víctimas en superficie (capturada por los indicadores Beach) y la adopción de su estructura semántica profunda (capturada por la distancia de embedding y₈). El caso de Chaparro en Catatumbo muestra que ambas pueden divergir, lo que justifica mantener el canal verbal con un peso moderado (0.20) dentro del ICM: es informativo, pero su contenido semántico ya queda parcialmente capturado por los índices DIS e IEI.</w:t>
      </w:r>
    </w:p>
    <w:p>
      <w:pPr>
        <w:pStyle w:val="Heading2"/>
        <w:spacing w:before="240" w:after="120"/>
      </w:pPr>
      <w:r>
        <w:rPr>
          <w:rFonts w:ascii="Times New Roman" w:cs="Times New Roman" w:eastAsia="Times New Roman" w:hAnsi="Times New Roman"/>
          <w:b/>
          <w:sz w:val="26"/>
          <w:szCs w:val="26"/>
        </w:rPr>
        <w:t xml:space="preserve">5.16 Validación de robustez de los pesos del ICM tri-canal</w:t>
      </w:r>
    </w:p>
    <w:p>
      <w:pPr>
        <w:spacing w:after="200" w:line="360" w:lineRule="auto"/>
        <w:jc w:val="both"/>
      </w:pPr>
      <w:r>
        <w:rPr>
          <w:rFonts w:ascii="Times New Roman" w:cs="Times New Roman" w:eastAsia="Times New Roman" w:hAnsi="Times New Roman"/>
          <w:b/>
          <w:sz w:val="24"/>
          <w:szCs w:val="24"/>
        </w:rPr>
        <w:t xml:space="preserve">Procedimiento. </w:t>
      </w:r>
      <w:r>
        <w:rPr>
          <w:rFonts w:ascii="Times New Roman" w:cs="Times New Roman" w:eastAsia="Times New Roman" w:hAnsi="Times New Roman"/>
          <w:sz w:val="24"/>
          <w:szCs w:val="24"/>
        </w:rPr>
        <w:t xml:space="preserve">Dado que el ICM compone los tres canales con pesos fijos (0.40 facial / 0.40 vocal / 0.20 verbal), la estabilidad del ordenamiento de comparecientes ante esa elección se evalúa mediante simulación Monte Carlo, coherente con el procedimiento de sensibilidad de pesos aplicado al DIS Score (§5.13). Se generan pesos alternativos y se calcula el coeficiente de concordancia de rangos Kendall τ entre el ranking resultante y el de referencia, con umbral de robustez τ≥0.80. El análisis se realiza en dos modos complementarios sobre 5.000 simulaciones cada uno.</w:t>
      </w:r>
    </w:p>
    <w:tbl>
      <w:tblPr>
        <w:tblW w:w="8600" w:type="dxa"/>
        <w:tblBorders>
          <w:top w:val="single" w:sz="4" w:color="BBBBBB"/>
          <w:left w:val="single" w:sz="4" w:color="BBBBBB"/>
          <w:bottom w:val="single" w:sz="4" w:color="BBBBBB"/>
          <w:right w:val="single" w:sz="4" w:color="BBBBBB"/>
          <w:insideH w:val="single" w:sz="4" w:color="BBBBBB"/>
          <w:insideV w:val="single" w:sz="4" w:color="BBBBBB"/>
        </w:tblBorders>
        <w:tblLook w:val="04A0"/>
      </w:tblPr>
      <w:tblGrid>
        <w:gridCol w:w="3400"/>
        <w:gridCol w:w="1900"/>
        <w:gridCol w:w="1700"/>
        <w:gridCol w:w="1600"/>
      </w:tblGrid>
      <w:tr>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left"/>
            </w:pPr>
            <w:r>
              <w:rPr>
                <w:rFonts w:ascii="Times New Roman" w:cs="Times New Roman" w:eastAsia="Times New Roman" w:hAnsi="Times New Roman"/>
                <w:b/>
                <w:sz w:val="18"/>
                <w:szCs w:val="18"/>
              </w:rPr>
              <w:t xml:space="preserve">Modo / esquema</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Kendall τ</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 sim. τ≥0.80</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Lectura</w:t>
            </w:r>
          </w:p>
        </w:tc>
      </w:tr>
      <w:tr>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left"/>
            </w:pPr>
            <w:r>
              <w:rPr>
                <w:rFonts w:ascii="Times New Roman" w:cs="Times New Roman" w:eastAsia="Times New Roman" w:hAnsi="Times New Roman"/>
                <w:sz w:val="18"/>
                <w:szCs w:val="18"/>
              </w:rPr>
              <w:t xml:space="preserve">Restringido (±0.10 local)</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sz w:val="18"/>
                <w:szCs w:val="18"/>
              </w:rPr>
              <w:t xml:space="preserve">0.908 (medio)</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sz w:val="18"/>
                <w:szCs w:val="18"/>
              </w:rPr>
              <w:t xml:space="preserve">97.7%</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sz w:val="18"/>
                <w:szCs w:val="18"/>
              </w:rPr>
              <w:t xml:space="preserve">robusto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Completo (todo el simplex)</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0.588 (medio)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15.7%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facial decisivo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Esquema 45/45/10 (no verbal)</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0.858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robusto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Esquema 50/30/20 (facial)</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0.890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robusto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Esquema 33/33/33 (igual)</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0.753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moderado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8"/>
                <w:szCs w:val="18"/>
              </w:rPr>
              <w:t xml:space="preserve">Esquema sin facial (0/60/40)</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8"/>
                <w:szCs w:val="18"/>
              </w:rPr>
              <w:t xml:space="preserve">0.233</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8"/>
                <w:szCs w:val="18"/>
              </w:rPr>
              <w:t xml:space="preserve">—</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8"/>
                <w:szCs w:val="18"/>
              </w:rPr>
              <w:t xml:space="preserve">reordena</w:t>
            </w:r>
          </w:p>
        </w:tc>
      </w:tr>
    </w:tbl>
    <w:p>
      <w:pPr>
        <w:spacing w:after="160" w:line="360" w:lineRule="auto"/>
        <w:jc w:val="both"/>
      </w:pPr>
      <w:r>
        <w:rPr>
          <w:rFonts w:ascii="Times New Roman" w:cs="Times New Roman" w:eastAsia="Times New Roman" w:hAnsi="Times New Roman"/>
          <w:i/>
          <w:sz w:val="20"/>
          <w:szCs w:val="20"/>
        </w:rPr>
        <w:t xml:space="preserve">Tabla 5.16. Sensibilidad de los pesos del ICM tri-canal (Monte Carlo, 5.000 simulaciones por modo; Kendall τ vs. ranking de referencia 0.40/0.40/0.20). Verde: robustez ante variaciones razonables. Ámbar: la eliminación del canal facial reordena el ranking, lo que revela su carácter informativo.</w:t>
      </w:r>
    </w:p>
    <w:p>
      <w:pPr>
        <w:spacing w:after="200" w:line="360" w:lineRule="auto"/>
        <w:jc w:val="both"/>
      </w:pPr>
      <w:r>
        <w:rPr>
          <w:rFonts w:ascii="Times New Roman" w:cs="Times New Roman" w:eastAsia="Times New Roman" w:hAnsi="Times New Roman"/>
          <w:b/>
          <w:sz w:val="24"/>
          <w:szCs w:val="24"/>
        </w:rPr>
        <w:t xml:space="preserve">Resultados. </w:t>
      </w:r>
      <w:r>
        <w:rPr>
          <w:rFonts w:ascii="Times New Roman" w:cs="Times New Roman" w:eastAsia="Times New Roman" w:hAnsi="Times New Roman"/>
          <w:sz w:val="24"/>
          <w:szCs w:val="24"/>
        </w:rPr>
        <w:t xml:space="preserve">Bajo perturbación local de los pesos (±0.10 alrededor de la referencia, variaciones metodológicamente plausibles), el 97,7% de las simulaciones mantiene τ≥0.80, con τ medio de 0.908: el ordenamiento de comparecientes es robusto a la elección razonable de pesos. Bajo exploración del espacio completo de pesos, la concordancia desciende (15,7%), lo que revela que el canal facial es el más informativo del índice: su eliminación reordena sustancialmente el ranking (τ=0.233), mientras que los esquemas que lo conservan con peso sustancial permanecen robustos (τ&gt;0.85). Esta doble caracterización valida empíricamente tanto la inclusión del canal facial como el peso reducido del canal verbal (τ=0.705 al eliminarlo), coherente con su carácter de proxy indirecto ya capturado en los índices DIS e IEI. Los pesos 0.40/0.40/0.20 se ubican, por tanto, en la región estable del espacio de configuraciones.</w:t>
      </w:r>
    </w:p>
    <w:p>
      <w:pPr>
        <w:spacing w:after="80" w:line="340"/>
        <w:jc w:val="both"/>
      </w:pPr>
      <w:r>
        <w:rPr>
          <w:sz w:val="20"/>
          <w:szCs w:val="20"/>
          <w:i/>
          <w:color w:val="2E4057"/>
        </w:rPr>
        <w:t xml:space="preserve">Beach, M. C., et al. (2021). Testimonial Injustice: Linguistic Bias in the Medical Records of Black Patients and Women. Journal of General Internal Medicine.</w:t>
      </w:r>
    </w:p>
    <w:p>
      <w:pPr>
        <w:spacing w:after="80" w:line="340"/>
        <w:jc w:val="both"/>
      </w:pPr>
      <w:r>
        <w:rPr>
          <w:sz w:val="20"/>
          <w:szCs w:val="20"/>
          <w:i/>
          <w:color w:val="2E4057"/>
        </w:rPr>
        <w:t xml:space="preserve">Andrews, S., et al. (2023). Intersectionality and Testimonial Injustice in Medical Records. ACL Clinical NLP Workshop.</w:t>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Barrett, L. F., Adolphs, R., Marsella, S., Martinez, A. M., y Pollak, S. D. (2019). Emotional Expressions Reconsidered: Challenges to Inferring Emotion From Human Facial Movements. Psychological Science in the Public Interest, 20(1), 1–68.
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Bredin, H., et al. (2023). pyannote.audio 2.1 speaker diarization pipeline. ICASSP 2023.</w:t>
      </w:r>
    </w:p>
    <w:p>
      <w:pPr>
        <w:spacing w:after="120"/>
        <w:ind w:left="720" w:hanging="720"/>
        <w:jc w:val="both"/>
      </w:pPr>
      <w:r>
        <w:rPr>
          <w:rFonts w:ascii="Times New Roman" w:cs="Times New Roman" w:eastAsia="Times New Roman" w:hAnsi="Times New Roman"/>
          <w:color w:val="000000"/>
          <w:sz w:val="20"/>
          <w:szCs w:val="20"/>
        </w:rPr>
        <w:t xml:space="preserve">Igolkina, A. A. y Meshcheryakov, G. (2020). semopy: A Python package for Structural Equation Models. arXiv:2003.05838.</w:t>
      </w:r>
    </w:p>
    <w:p>
      <w:pPr>
        <w:spacing w:after="120"/>
        <w:ind w:left="720" w:hanging="720"/>
        <w:jc w:val="both"/>
      </w:pPr>
      <w:r>
        <w:rPr>
          <w:rFonts w:ascii="Times New Roman" w:cs="Times New Roman" w:eastAsia="Times New Roman" w:hAnsi="Times New Roman"/>
          <w:color w:val="000000"/>
          <w:sz w:val="20"/>
          <w:szCs w:val="20"/>
        </w:rPr>
        <w:t xml:space="preserve">JEP. (2022). Resolución de Conclusiones No. 01 y 03 de 2022 — Caso 03. SRVR.</w:t>
      </w:r>
    </w:p>
    <w:p>
      <w:pPr>
        <w:spacing w:after="120"/>
        <w:ind w:left="720" w:hanging="720"/>
        <w:jc w:val="both"/>
      </w:pPr>
      <w:r>
        <w:rPr>
          <w:rFonts w:ascii="Times New Roman" w:cs="Times New Roman" w:eastAsia="Times New Roman" w:hAnsi="Times New Roman"/>
          <w:color w:val="000000"/>
          <w:sz w:val="20"/>
          <w:szCs w:val="20"/>
        </w:rPr>
        <w:t xml:space="preserve">MAFAPO. (2021). Unidas por la Memoria y la Verdad. OIM / Embajada de Suecia.</w:t>
      </w:r>
    </w:p>
    <w:p>
      <w:pPr>
        <w:spacing w:after="120"/>
        <w:ind w:left="720" w:hanging="720"/>
        <w:jc w:val="both"/>
      </w:pPr>
      <w:r>
        <w:rPr>
          <w:rFonts w:ascii="Times New Roman" w:cs="Times New Roman" w:eastAsia="Times New Roman" w:hAnsi="Times New Roman"/>
          <w:color w:val="000000"/>
          <w:sz w:val="20"/>
          <w:szCs w:val="20"/>
        </w:rPr>
        <w:t xml:space="preserve">Mann, H. B. y Whitney, D. R. (1947). On a test of whether one of two random variables is stochastically larger than the other. Annals of Mathematical Statistics, 18(1), 50–60.</w:t>
      </w:r>
    </w:p>
    <w:p>
      <w:pPr>
        <w:spacing w:after="120"/>
        <w:ind w:left="720" w:hanging="720"/>
        <w:jc w:val="both"/>
      </w:pPr>
      <w:r>
        <w:rPr>
          <w:rFonts w:ascii="Times New Roman" w:cs="Times New Roman" w:eastAsia="Times New Roman" w:hAnsi="Times New Roman"/>
          <w:color w:val="000000"/>
          <w:sz w:val="20"/>
          <w:szCs w:val="20"/>
        </w:rPr>
        <w:t xml:space="preserve">Lugaresi, C., et al. (2023). MediaPipe: A Framework for Perceiving and Processing Reality. CVPR Workshop.</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Yang, W., et al. (2023). ConfliBERT-Spanish. IEEE CiSt 2023.</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Hermenéutica Forense Computacional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2026-04-15T23:11:45.629Z</dcterms:created>
  <dcterms:modified xsi:type="dcterms:W3CDTF">2026-04-15T23:11:45.630Z</dcterms:modified>
</cp:coreProperties>
</file>

<file path=docProps/custom.xml><?xml version="1.0" encoding="utf-8"?>
<Properties xmlns="http://schemas.openxmlformats.org/officeDocument/2006/custom-properties" xmlns:vt="http://schemas.openxmlformats.org/officeDocument/2006/docPropsVTypes"/>
</file>